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C0" w:rsidRDefault="00591AC0" w:rsidP="00C257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AC0" w:rsidRDefault="00591AC0" w:rsidP="00591AC0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на сайт</w:t>
      </w:r>
    </w:p>
    <w:p w:rsidR="00C2573D" w:rsidRPr="00FC6C09" w:rsidRDefault="00C2573D" w:rsidP="00C257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Коллегия</w:t>
      </w:r>
      <w:r w:rsidRPr="00FC6C09">
        <w:rPr>
          <w:rFonts w:ascii="Times New Roman" w:hAnsi="Times New Roman" w:cs="Times New Roman"/>
          <w:b/>
          <w:sz w:val="28"/>
          <w:szCs w:val="28"/>
        </w:rPr>
        <w:t xml:space="preserve"> Министерства финансов Республики Адыгея</w:t>
      </w:r>
    </w:p>
    <w:p w:rsidR="00C2573D" w:rsidRDefault="00373BDF" w:rsidP="00C257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C2573D" w:rsidRPr="00FC6C09">
        <w:rPr>
          <w:rFonts w:ascii="Times New Roman" w:hAnsi="Times New Roman" w:cs="Times New Roman"/>
          <w:b/>
          <w:sz w:val="28"/>
          <w:szCs w:val="28"/>
        </w:rPr>
        <w:t>.</w:t>
      </w:r>
      <w:r w:rsidR="001325E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1325E2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C2573D" w:rsidRPr="00FC6C0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2573D" w:rsidRDefault="00C2573D" w:rsidP="00C2573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73D" w:rsidRDefault="006066DB" w:rsidP="006066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25E2">
        <w:rPr>
          <w:rFonts w:ascii="Times New Roman" w:hAnsi="Times New Roman" w:cs="Times New Roman"/>
          <w:sz w:val="28"/>
          <w:szCs w:val="28"/>
        </w:rPr>
        <w:t>чередное расширенное</w:t>
      </w:r>
      <w:r w:rsidR="00C2573D" w:rsidRPr="00C2573D">
        <w:rPr>
          <w:rFonts w:ascii="Times New Roman" w:hAnsi="Times New Roman" w:cs="Times New Roman"/>
          <w:sz w:val="28"/>
          <w:szCs w:val="28"/>
        </w:rPr>
        <w:t xml:space="preserve"> заседание Коллегии Министерства финансов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 состоялось 29 марта</w:t>
      </w:r>
      <w:r w:rsidR="002628C1">
        <w:rPr>
          <w:rFonts w:ascii="Times New Roman" w:hAnsi="Times New Roman" w:cs="Times New Roman"/>
          <w:sz w:val="28"/>
          <w:szCs w:val="28"/>
        </w:rPr>
        <w:t xml:space="preserve"> </w:t>
      </w:r>
      <w:r w:rsidR="00C2573D" w:rsidRPr="00C2573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C2573D" w:rsidRPr="00C257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573D">
        <w:rPr>
          <w:rFonts w:ascii="Times New Roman" w:hAnsi="Times New Roman" w:cs="Times New Roman"/>
          <w:sz w:val="28"/>
          <w:szCs w:val="28"/>
        </w:rPr>
        <w:t>.</w:t>
      </w:r>
    </w:p>
    <w:p w:rsidR="00584670" w:rsidRDefault="00C2573D" w:rsidP="005846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Коллегии присутствовали: члены Коллегии Министерства фина</w:t>
      </w:r>
      <w:r w:rsidR="00584670">
        <w:rPr>
          <w:rFonts w:ascii="Times New Roman" w:hAnsi="Times New Roman" w:cs="Times New Roman"/>
          <w:sz w:val="28"/>
          <w:szCs w:val="28"/>
        </w:rPr>
        <w:t xml:space="preserve">нсов Республики Адыгея,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2628C1">
        <w:rPr>
          <w:rFonts w:ascii="Times New Roman" w:hAnsi="Times New Roman" w:cs="Times New Roman"/>
          <w:sz w:val="28"/>
          <w:szCs w:val="28"/>
        </w:rPr>
        <w:t>структурных подразделений Министер</w:t>
      </w:r>
      <w:r w:rsidR="00584670">
        <w:rPr>
          <w:rFonts w:ascii="Times New Roman" w:hAnsi="Times New Roman" w:cs="Times New Roman"/>
          <w:sz w:val="28"/>
          <w:szCs w:val="28"/>
        </w:rPr>
        <w:t>ства финансов Республики Адыгея,</w:t>
      </w:r>
      <w:r w:rsidR="00584670" w:rsidRPr="00584670">
        <w:rPr>
          <w:rFonts w:ascii="Times New Roman" w:hAnsi="Times New Roman" w:cs="Times New Roman"/>
          <w:sz w:val="28"/>
          <w:szCs w:val="28"/>
        </w:rPr>
        <w:t xml:space="preserve"> </w:t>
      </w:r>
      <w:r w:rsidR="00584670">
        <w:rPr>
          <w:rFonts w:ascii="Times New Roman" w:hAnsi="Times New Roman" w:cs="Times New Roman"/>
          <w:sz w:val="28"/>
          <w:szCs w:val="28"/>
        </w:rPr>
        <w:t>а также руководители финансовых управлений муниципальных образований Республики Адыгея.</w:t>
      </w:r>
    </w:p>
    <w:p w:rsidR="0034696D" w:rsidRDefault="0034696D" w:rsidP="00346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Коллегии </w:t>
      </w:r>
      <w:r w:rsidRPr="00C2573D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были рассмотрены вопросы:</w:t>
      </w:r>
    </w:p>
    <w:p w:rsidR="0034696D" w:rsidRDefault="0034696D" w:rsidP="00346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D738C">
        <w:rPr>
          <w:rFonts w:ascii="Times New Roman" w:hAnsi="Times New Roman" w:cs="Times New Roman"/>
          <w:sz w:val="28"/>
          <w:szCs w:val="28"/>
        </w:rPr>
        <w:t>Об итогах исполнения консолидированного и республиканского бюджетов Республики Адыгея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D738C">
        <w:rPr>
          <w:rFonts w:ascii="Times New Roman" w:hAnsi="Times New Roman" w:cs="Times New Roman"/>
          <w:sz w:val="28"/>
          <w:szCs w:val="28"/>
        </w:rPr>
        <w:t xml:space="preserve"> год и основных задачах органов финансовой системы Республики Адыгея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D738C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34696D" w:rsidRDefault="0034696D" w:rsidP="00346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D738C">
        <w:rPr>
          <w:rFonts w:ascii="Times New Roman" w:hAnsi="Times New Roman" w:cs="Times New Roman"/>
          <w:sz w:val="28"/>
          <w:szCs w:val="28"/>
        </w:rPr>
        <w:t>О некоторых вопросах проведения мониторинга и составления рейтинга муниципальных образований Республики Адыгея по уровню открытости бюд</w:t>
      </w:r>
      <w:r w:rsidR="00F62AA1">
        <w:rPr>
          <w:rFonts w:ascii="Times New Roman" w:hAnsi="Times New Roman" w:cs="Times New Roman"/>
          <w:sz w:val="28"/>
          <w:szCs w:val="28"/>
        </w:rPr>
        <w:t>жетных данных за 2017 год.</w:t>
      </w:r>
    </w:p>
    <w:p w:rsidR="0034696D" w:rsidRPr="00CD738C" w:rsidRDefault="0034696D" w:rsidP="00346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96D" w:rsidRDefault="0034696D" w:rsidP="0034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По вопросу «</w:t>
      </w:r>
      <w:r w:rsidRPr="00CD738C">
        <w:rPr>
          <w:rFonts w:ascii="Times New Roman" w:hAnsi="Times New Roman" w:cs="Times New Roman"/>
          <w:sz w:val="28"/>
          <w:szCs w:val="28"/>
        </w:rPr>
        <w:t>Об итогах исполнения консолидированного и республиканского бюджетов Республики Адыгея за 201</w:t>
      </w:r>
      <w:r w:rsidR="0096594F">
        <w:rPr>
          <w:rFonts w:ascii="Times New Roman" w:hAnsi="Times New Roman" w:cs="Times New Roman"/>
          <w:sz w:val="28"/>
          <w:szCs w:val="28"/>
        </w:rPr>
        <w:t>7</w:t>
      </w:r>
      <w:r w:rsidRPr="00CD738C">
        <w:rPr>
          <w:rFonts w:ascii="Times New Roman" w:hAnsi="Times New Roman" w:cs="Times New Roman"/>
          <w:sz w:val="28"/>
          <w:szCs w:val="28"/>
        </w:rPr>
        <w:t xml:space="preserve"> год и основных задачах органов финансовой системы Республики Адыгея на 201</w:t>
      </w:r>
      <w:r w:rsidR="0096594F">
        <w:rPr>
          <w:rFonts w:ascii="Times New Roman" w:hAnsi="Times New Roman" w:cs="Times New Roman"/>
          <w:sz w:val="28"/>
          <w:szCs w:val="28"/>
        </w:rPr>
        <w:t>8</w:t>
      </w:r>
      <w:r w:rsidRPr="00CD738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»:</w:t>
      </w:r>
      <w:r w:rsidRPr="00CD7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96D" w:rsidRPr="00E961EC" w:rsidRDefault="0034696D" w:rsidP="0034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</w:rPr>
        <w:t>Заслушан</w:t>
      </w:r>
      <w:r>
        <w:rPr>
          <w:rFonts w:ascii="Times New Roman" w:hAnsi="Times New Roman" w:cs="Times New Roman"/>
          <w:sz w:val="28"/>
        </w:rPr>
        <w:t xml:space="preserve">а информация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Pr="00E961EC">
        <w:rPr>
          <w:rFonts w:ascii="Times New Roman" w:hAnsi="Times New Roman" w:cs="Times New Roman"/>
          <w:sz w:val="28"/>
          <w:szCs w:val="28"/>
        </w:rPr>
        <w:t xml:space="preserve"> Министра финансов Респуб</w:t>
      </w:r>
      <w:r w:rsidR="0096594F">
        <w:rPr>
          <w:rFonts w:ascii="Times New Roman" w:hAnsi="Times New Roman" w:cs="Times New Roman"/>
          <w:sz w:val="28"/>
          <w:szCs w:val="28"/>
        </w:rPr>
        <w:t xml:space="preserve">лики Адыгея – </w:t>
      </w:r>
      <w:proofErr w:type="spellStart"/>
      <w:r w:rsidR="0096594F">
        <w:rPr>
          <w:rFonts w:ascii="Times New Roman" w:hAnsi="Times New Roman" w:cs="Times New Roman"/>
          <w:sz w:val="28"/>
          <w:szCs w:val="28"/>
        </w:rPr>
        <w:t>Хапаевой</w:t>
      </w:r>
      <w:proofErr w:type="spellEnd"/>
      <w:r w:rsidR="0096594F">
        <w:rPr>
          <w:rFonts w:ascii="Times New Roman" w:hAnsi="Times New Roman" w:cs="Times New Roman"/>
          <w:sz w:val="28"/>
          <w:szCs w:val="28"/>
        </w:rPr>
        <w:t xml:space="preserve"> М.Ч.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3287" w:rsidRPr="00B83287" w:rsidRDefault="00B83287" w:rsidP="00B832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3287">
        <w:rPr>
          <w:rFonts w:ascii="Times New Roman" w:hAnsi="Times New Roman" w:cs="Times New Roman"/>
          <w:b/>
          <w:i/>
          <w:sz w:val="28"/>
          <w:szCs w:val="28"/>
        </w:rPr>
        <w:t>Д О К Л А Д</w:t>
      </w:r>
    </w:p>
    <w:p w:rsidR="00B83287" w:rsidRPr="00B83287" w:rsidRDefault="00B83287" w:rsidP="00B832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3287">
        <w:rPr>
          <w:rFonts w:ascii="Times New Roman" w:hAnsi="Times New Roman" w:cs="Times New Roman"/>
          <w:b/>
          <w:i/>
          <w:sz w:val="28"/>
          <w:szCs w:val="28"/>
        </w:rPr>
        <w:t xml:space="preserve">на заседание коллегии </w:t>
      </w:r>
    </w:p>
    <w:p w:rsidR="00B83287" w:rsidRPr="00B83287" w:rsidRDefault="00B83287" w:rsidP="00B832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3287">
        <w:rPr>
          <w:rFonts w:ascii="Times New Roman" w:hAnsi="Times New Roman" w:cs="Times New Roman"/>
          <w:b/>
          <w:i/>
          <w:sz w:val="28"/>
          <w:szCs w:val="28"/>
        </w:rPr>
        <w:t>Министерства финансов Республики Адыгея</w:t>
      </w:r>
    </w:p>
    <w:p w:rsidR="00B83287" w:rsidRPr="00B83287" w:rsidRDefault="00B83287" w:rsidP="00B832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3287">
        <w:rPr>
          <w:rFonts w:ascii="Times New Roman" w:hAnsi="Times New Roman" w:cs="Times New Roman"/>
          <w:b/>
          <w:i/>
          <w:sz w:val="28"/>
          <w:szCs w:val="28"/>
        </w:rPr>
        <w:t>29 марта 2018 года</w:t>
      </w:r>
    </w:p>
    <w:p w:rsidR="00B83287" w:rsidRPr="00B83287" w:rsidRDefault="00B83287" w:rsidP="00B832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3287">
        <w:rPr>
          <w:rFonts w:ascii="Times New Roman" w:hAnsi="Times New Roman" w:cs="Times New Roman"/>
          <w:b/>
          <w:i/>
          <w:sz w:val="28"/>
          <w:szCs w:val="28"/>
        </w:rPr>
        <w:t xml:space="preserve">по вопросу: «Об </w:t>
      </w:r>
      <w:r w:rsidRPr="00B83287">
        <w:rPr>
          <w:rFonts w:ascii="Times New Roman" w:hAnsi="Times New Roman" w:cs="Times New Roman"/>
          <w:b/>
          <w:i/>
          <w:sz w:val="28"/>
        </w:rPr>
        <w:t>итогах исполнения консолидированного и республиканского бюджетов Республики Адыгея за 2017 год</w:t>
      </w:r>
      <w:r w:rsidRPr="00B83287">
        <w:rPr>
          <w:rFonts w:ascii="Times New Roman" w:hAnsi="Times New Roman" w:cs="Times New Roman"/>
          <w:b/>
          <w:i/>
          <w:sz w:val="28"/>
          <w:szCs w:val="28"/>
        </w:rPr>
        <w:t xml:space="preserve"> и основных задачах органов финансовой системы Республики Адыгея на 2018 год»</w:t>
      </w:r>
    </w:p>
    <w:p w:rsidR="00B83287" w:rsidRPr="00B83287" w:rsidRDefault="00B83287" w:rsidP="00B8328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>По итогам 2017 года в консолидированный бюджет Республики Адыгея поступило налоговых и неналоговых доходов на сумму 12294,6 млн. рублей. Прогнозные показатели исполнены на 105,1% (+598,3 млн. рублей). По сравнению с фактическим исполнением за 2016 год темп роста составил 106,0 %.</w:t>
      </w:r>
    </w:p>
    <w:p w:rsidR="00B83287" w:rsidRPr="00B83287" w:rsidRDefault="00B83287" w:rsidP="00B8328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консолидированные бюджеты территорий в 2017 году поступило 3243,1 млн. рублей, что на 242,9 млн. рублей больше, чем в 2016 году (темп роста 108,1%). Наибольшие темпы роста наблюдались в </w:t>
      </w:r>
      <w:proofErr w:type="spellStart"/>
      <w:r w:rsidRPr="00B83287">
        <w:rPr>
          <w:rFonts w:ascii="Times New Roman" w:hAnsi="Times New Roman" w:cs="Times New Roman"/>
          <w:i/>
          <w:sz w:val="28"/>
          <w:szCs w:val="28"/>
        </w:rPr>
        <w:t>Тахтамукайском</w:t>
      </w:r>
      <w:proofErr w:type="spell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(113,5%, +97,0 млн. рублей), Шовгеновском (110,0%, +6,7 млн. рублей), </w:t>
      </w:r>
      <w:proofErr w:type="spellStart"/>
      <w:r w:rsidRPr="00B83287">
        <w:rPr>
          <w:rFonts w:ascii="Times New Roman" w:hAnsi="Times New Roman" w:cs="Times New Roman"/>
          <w:i/>
          <w:sz w:val="28"/>
          <w:szCs w:val="28"/>
        </w:rPr>
        <w:t>Теучежском</w:t>
      </w:r>
      <w:proofErr w:type="spell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(109,9%, +13,4 млн. рублей) и в городе Майкопе (109,5%, +114,9 млн. рублей). </w:t>
      </w:r>
    </w:p>
    <w:p w:rsidR="00B83287" w:rsidRPr="00B83287" w:rsidRDefault="00B83287" w:rsidP="00B8328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 xml:space="preserve">В городе </w:t>
      </w:r>
      <w:proofErr w:type="spellStart"/>
      <w:r w:rsidRPr="00B83287">
        <w:rPr>
          <w:rFonts w:ascii="Times New Roman" w:hAnsi="Times New Roman" w:cs="Times New Roman"/>
          <w:i/>
          <w:sz w:val="28"/>
          <w:szCs w:val="28"/>
        </w:rPr>
        <w:t>Адыгейск</w:t>
      </w:r>
      <w:proofErr w:type="spell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и в </w:t>
      </w:r>
      <w:proofErr w:type="spellStart"/>
      <w:r w:rsidRPr="00B83287">
        <w:rPr>
          <w:rFonts w:ascii="Times New Roman" w:hAnsi="Times New Roman" w:cs="Times New Roman"/>
          <w:i/>
          <w:sz w:val="28"/>
          <w:szCs w:val="28"/>
        </w:rPr>
        <w:t>Кошехабльском</w:t>
      </w:r>
      <w:proofErr w:type="spell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районе темпы роста составили 99,0% (-0,8 млн. рублей) и 93,9% (-8,5 млн. рублей) соответственно. При этом в этих двух муниципальных образованиях также не выполнены прогнозные показатели на 2017 год.</w:t>
      </w:r>
    </w:p>
    <w:p w:rsidR="00B83287" w:rsidRPr="00B83287" w:rsidRDefault="00B83287" w:rsidP="00B8328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>В республиканский бюджет Республики Адыгея поступило налоговых и неналоговых доходов на сумму 9066,0 млн. рублей. Прогноз исполнен на 106,3% (+539,5 млн. рублей). Темп роста составил 105,2 %.</w:t>
      </w:r>
    </w:p>
    <w:p w:rsidR="00B83287" w:rsidRPr="00B83287" w:rsidRDefault="00B83287" w:rsidP="00B8328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>Основной объем поступлений в консолидированный бюджет составили налоги на прибыль, доходы (46,8 %), налоги на товары (работы, услуги), реализуемые на территории Российской Федерации (23,4 %), налоги на имущество (14,1 %).</w:t>
      </w:r>
    </w:p>
    <w:p w:rsidR="00B83287" w:rsidRPr="00B83287" w:rsidRDefault="00B83287" w:rsidP="00B832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>Исполнение прогнозных показателей по основным доходным источникам сложилось следующим образом: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 xml:space="preserve">- по налогу на прибыль организаций – 110,8 % (+179,4 млн. рублей); 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>- по налогу на доходы физических лиц – 101,5 % (+59,1 млн. рублей);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>- по налогам на товары (работы, услуги), реализуемые на территории Российской Федерации – 108,6 % (+227,6 млн. рублей);</w:t>
      </w:r>
    </w:p>
    <w:p w:rsidR="00B83287" w:rsidRPr="00B83287" w:rsidRDefault="00B83287" w:rsidP="00B83287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 xml:space="preserve">- по имущественным налогам - 104,6% (+75,4 млн. рублей). </w:t>
      </w:r>
    </w:p>
    <w:p w:rsidR="00B83287" w:rsidRPr="00B83287" w:rsidRDefault="00B83287" w:rsidP="00B832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 xml:space="preserve">В целях создания условий для увеличения доходной базы бюджета путем повышения эффективности использования налоговых льгот в соответствии с приказом  Министерства финансов Республики Адыгея от 30 июня 2016 года </w:t>
      </w:r>
      <w:r w:rsidRPr="00B83287">
        <w:rPr>
          <w:rFonts w:ascii="Times New Roman" w:hAnsi="Times New Roman" w:cs="Times New Roman"/>
          <w:i/>
          <w:sz w:val="28"/>
          <w:szCs w:val="28"/>
        </w:rPr>
        <w:br/>
        <w:t xml:space="preserve">№ 114-А «О порядке оценки обоснованности и эффективности предоставленных (планируемых к предоставлению) налоговых льгот» проведена оценка за  2016 год. Все мероприятия, предусмотренные Планом мероприятий по устранению с 1 января 2018 года неэффективных льгот (пониженных ставок по налогам), утвержденным распоряжением Кабинета Министров Республики Адыгея  от  22 марта 2017 года № 49-р (далее - План мероприятий), выполнены в полном объеме. Законом  Республики Адыгея от 26 мая 2017 года № 67 «О признании </w:t>
      </w:r>
      <w:proofErr w:type="gramStart"/>
      <w:r w:rsidRPr="00B83287">
        <w:rPr>
          <w:rFonts w:ascii="Times New Roman" w:hAnsi="Times New Roman" w:cs="Times New Roman"/>
          <w:i/>
          <w:sz w:val="28"/>
          <w:szCs w:val="28"/>
        </w:rPr>
        <w:t>утратившими</w:t>
      </w:r>
      <w:proofErr w:type="gram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силу отдельных положений некоторых законов Республики Адыгея» с 1 января 2018 года отменены следующие налоговые льготы: 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>- по уплате транспортного налога - организациям, выполняющим авиационно-химические работы по внесению минеральных удобрений, борьбе с сорной растительностью, болезнями и вредителями сельскохозяйственных культур;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>- по уплате налога на имущество организаций жилищных кооперативов, жилищно-строительных кооперативов, товариществ собственников жилья;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по уплате налога на имущество организаций воздушного транспорта в части имущества, используемого для осуществления воздушных перевозок; 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83287">
        <w:rPr>
          <w:rFonts w:ascii="Times New Roman" w:hAnsi="Times New Roman" w:cs="Times New Roman"/>
          <w:i/>
          <w:sz w:val="28"/>
          <w:szCs w:val="28"/>
        </w:rPr>
        <w:t>- по уплате налога на прибыль организаций в части сумм налога, зачисляемого в республиканский бюджет Республики Адыгея, в размере 13,5 процента  для  следующих налогоплательщиков: учреждений,  исполняющих  наказания, предприятий учреждений, исполняющих наказания, а также иных организаций Управления Федеральной службы исполнения наказаний по Республике Адыгея, товариществ собственников жилья в части прибыли, полученной от осуществления деятельности, связанной с обслуживанием, эксплуатацией и ремонтом недвижимого имущества</w:t>
      </w:r>
      <w:proofErr w:type="gram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в многоквартирных домах, банков, направляющих не менее шестидесяти процентов кредитных ресурсов на кредитование организаций Республики Адыгея, а также на жилищное кредитование.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>Аналогичная работа была проведена во всех муниципальных образованиях. В соответствии с принятыми методиками проведена оценка льгот за 2016 год. По итогам проведенной работы внесены изменения в нормативные правовые акты представительных органов муниципальных образований с целью их оптимизации путем сокращения неэффективных, фактически не используемых, и не имеющих социальной значимости.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 xml:space="preserve">Работа по формированию </w:t>
      </w:r>
      <w:proofErr w:type="gramStart"/>
      <w:r w:rsidRPr="00B83287">
        <w:rPr>
          <w:rFonts w:ascii="Times New Roman" w:hAnsi="Times New Roman" w:cs="Times New Roman"/>
          <w:i/>
          <w:sz w:val="28"/>
          <w:szCs w:val="28"/>
        </w:rPr>
        <w:t>реестров льгот, действующих на территориях субъектов Российской Федерации продолжится</w:t>
      </w:r>
      <w:proofErr w:type="gram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и в 2018 году. В настоящее время на стадии завершения находится работа по формированию единой методики оценки эффективности налоговых льгот, в том числе пониженных ставок налогов, установленных законами субъектов Российской Федерации и нормативными правовыми актами представительных органов муниципальных образований. </w:t>
      </w:r>
      <w:r w:rsidRPr="00B83287">
        <w:rPr>
          <w:rFonts w:ascii="Times New Roman" w:hAnsi="Times New Roman" w:cs="Times New Roman"/>
          <w:bCs/>
          <w:i/>
          <w:sz w:val="28"/>
          <w:szCs w:val="28"/>
        </w:rPr>
        <w:t xml:space="preserve">В соответствии Методикой социальные и финансовые налоговые льготы подлежат распределению по группам полномочий органов государственной власти субъектов Российской Федерации, в соответствии с методикой распределения дотаций на выравнивание бюджетной обеспеченности, утвержденной  постановлением  Правительства  Российской Федерации от 22 ноября 2004 года № 670. 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83287">
        <w:rPr>
          <w:rFonts w:ascii="Times New Roman" w:hAnsi="Times New Roman" w:cs="Times New Roman"/>
          <w:bCs/>
          <w:i/>
          <w:sz w:val="28"/>
          <w:szCs w:val="28"/>
        </w:rPr>
        <w:t xml:space="preserve">Министерством финансов Российской Федерации при разработке методики были учтены наши замечания, касающиеся оценки эффективности стимулирующих налоговых льгот, представляемых в соответствии с Законом Республики Адыгея от 22 ноября 2003 года № 183 «О налоге на имущество организаций». В первоначальном варианте предлагаемое методикой рассмотрение показателей в целом по всей категории </w:t>
      </w:r>
      <w:proofErr w:type="spellStart"/>
      <w:r w:rsidRPr="00B83287">
        <w:rPr>
          <w:rFonts w:ascii="Times New Roman" w:hAnsi="Times New Roman" w:cs="Times New Roman"/>
          <w:bCs/>
          <w:i/>
          <w:sz w:val="28"/>
          <w:szCs w:val="28"/>
        </w:rPr>
        <w:t>льготополучателей</w:t>
      </w:r>
      <w:proofErr w:type="spellEnd"/>
      <w:r w:rsidRPr="00B83287">
        <w:rPr>
          <w:rFonts w:ascii="Times New Roman" w:hAnsi="Times New Roman" w:cs="Times New Roman"/>
          <w:bCs/>
          <w:i/>
          <w:sz w:val="28"/>
          <w:szCs w:val="28"/>
        </w:rPr>
        <w:t xml:space="preserve"> искажало общий результат.  Проект методики был направлен на согласование во все муниципальные образования, но замечаний ни от кого не поступило. Учитывая трудности связанные с исполнением местных бюджетов в текущем году необходимо ответственнее относиться ко всем направляемым на согласование проектам. </w:t>
      </w:r>
    </w:p>
    <w:p w:rsidR="00B83287" w:rsidRPr="00B83287" w:rsidRDefault="00B83287" w:rsidP="00B8328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lastRenderedPageBreak/>
        <w:t>Всем муниципальным образованиям необходимо в текущем году уточнить реестры льгот с учетом отмененных с 1 января 2018 года с обязательным размещением в сети интернет. На основании проведенной оценки эффективности пересмотреть перечень действующих льгот с целью сокращения путем оптимизации их количества в срок до 1 января 2019 года. Отмене в первую очередь должны подлежать не используемые льготы, в случае если используется одним налогоплательщиком и финансовые льготы.</w:t>
      </w:r>
    </w:p>
    <w:p w:rsidR="00B83287" w:rsidRPr="00B83287" w:rsidRDefault="00B83287" w:rsidP="00B8328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>В целях совершенствования законодательной и нормативной базы в области налогообложения проведены следующие мероприятия:</w:t>
      </w:r>
    </w:p>
    <w:p w:rsidR="00B83287" w:rsidRPr="00B83287" w:rsidRDefault="00B83287" w:rsidP="00B83287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 xml:space="preserve">Законом Республики Адыгея от 5 июля 2017 года № 76 «О внесении изменения в Закон  Республики  Адыгея «О налоговых ставках при применении упрощенной и патентной систем налогообложения отдельными категориями налогоплательщиков» перечень видов предпринимательской деятельности, приведен в соответствие с общероссийским классификатором. Кроме того, завершение  периода действия «налоговых каникул» с 1 января 2018 года (Закон Республики Адыгея от 2 июля 2015 года № 426 «О налоговых ставках при применении упрощенной и патентной систем налогообложения отдельных категорий налогоплательщиков) будет способствовать росту доходов муниципальных образований. 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 xml:space="preserve">Принят Закон Республики Адыгея от 1 декабря 2017 года № 107 «Об установлении коэффициента, отражающего региональные особенности рынка труда, на 2018 год» в размере 1,73, способствующий росту поступлений по налогу на доходы физических лиц. 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83287">
        <w:rPr>
          <w:rFonts w:ascii="Times New Roman" w:hAnsi="Times New Roman" w:cs="Times New Roman"/>
          <w:i/>
          <w:sz w:val="28"/>
          <w:szCs w:val="28"/>
        </w:rPr>
        <w:t>В соответствии с ранее принятым Законом Республики Адыгея от 3 ноября 2016 года  № 4 «О внесении изменений в Закон  Республики Адыгея «О налоге на имущество организаций» и  Законом  Республики  Адыгея от 3 ноября 2016 года № 5 «Об установлении единой даты начала применения на территории Республики Адыгея порядка применения определения налоговой базы по налогу на имущество физических лиц исходя из кадастровой</w:t>
      </w:r>
      <w:proofErr w:type="gram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стоимости объектов налогообложения» с 1 января 2018 года поступления налога на имущество физических лиц, в полном объеме зачисляемые в местные бюджеты, будет производиться исходя из кадастровой стоимости объектов. Налогообложение по налогу на имущество организаций в отношении объектов недвижимости входящих в Перечень объектов недвижимого имущества, налоговая база в отношении которых </w:t>
      </w:r>
      <w:proofErr w:type="gramStart"/>
      <w:r w:rsidRPr="00B83287">
        <w:rPr>
          <w:rFonts w:ascii="Times New Roman" w:hAnsi="Times New Roman" w:cs="Times New Roman"/>
          <w:i/>
          <w:sz w:val="28"/>
          <w:szCs w:val="28"/>
        </w:rPr>
        <w:t>определяется</w:t>
      </w:r>
      <w:proofErr w:type="gram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как кадастровая стоимость началось с 1 января 2017 года. </w:t>
      </w:r>
      <w:proofErr w:type="gramStart"/>
      <w:r w:rsidRPr="00B83287">
        <w:rPr>
          <w:rFonts w:ascii="Times New Roman" w:hAnsi="Times New Roman" w:cs="Times New Roman"/>
          <w:i/>
          <w:sz w:val="28"/>
          <w:szCs w:val="28"/>
        </w:rPr>
        <w:t xml:space="preserve">Несмотря на то, что в результате принятых судебных решений и решений Управления </w:t>
      </w:r>
      <w:proofErr w:type="spellStart"/>
      <w:r w:rsidRPr="00B83287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налогооблагаемая база в отношении данного имущества за 2017 год уменьшилась на 793,2 млн. рублей, что привело к снижению суммы налога на 15,9 млн. рублей, за 9 месяцев 2017 года начислено налога на имущество организаций на 34,6 млн. рублей больше, чем за соответствующий период прошлого года (в том</w:t>
      </w:r>
      <w:proofErr w:type="gram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83287">
        <w:rPr>
          <w:rFonts w:ascii="Times New Roman" w:hAnsi="Times New Roman" w:cs="Times New Roman"/>
          <w:i/>
          <w:sz w:val="28"/>
          <w:szCs w:val="28"/>
        </w:rPr>
        <w:t>числе</w:t>
      </w:r>
      <w:proofErr w:type="gram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начислено по юридическим лицам, находящимся на специальном налоговом режиме 17,3 млн. рублей).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2017 году </w:t>
      </w:r>
      <w:proofErr w:type="gramStart"/>
      <w:r w:rsidRPr="00B83287">
        <w:rPr>
          <w:rFonts w:ascii="Times New Roman" w:hAnsi="Times New Roman" w:cs="Times New Roman"/>
          <w:i/>
          <w:sz w:val="28"/>
          <w:szCs w:val="28"/>
        </w:rPr>
        <w:t>в Налоговый кодекс Российской Федерации внесены изменения в части отмены льготы по налогу на имущество организаций в отношении</w:t>
      </w:r>
      <w:proofErr w:type="gram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движимого имущества, принятого с 1 января 2013 года на учет в качестве основных средств. В 2018 году в отношении такого имущества применяется налоговая ставка 1,1 процента.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83287">
        <w:rPr>
          <w:rFonts w:ascii="Times New Roman" w:hAnsi="Times New Roman" w:cs="Times New Roman"/>
          <w:i/>
          <w:sz w:val="28"/>
          <w:szCs w:val="28"/>
        </w:rPr>
        <w:t>В целях укрепления финансово - экономических основ местного самоуправления  Законом  Республики  Адыгея от 1 октября 2017 года № 87 «О внесении изменений в статью 5 Закона Республики Адыгея «О бюджетном процессе в Республике Адыгея» с 1 января 2018 года увеличивается норматив зачисления в бюджеты муниципальных районов и городских округов налога, взимаемого в связи с применением  упрощенной  системы налогообложения, в том числе минимального</w:t>
      </w:r>
      <w:proofErr w:type="gram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налога до 50,0 процентов. 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 xml:space="preserve">Актуальным остается вопрос по работе с недоимкой. За прошедший год общая сумма недоимки выросла на 10%. Наибольший рост отмечается в </w:t>
      </w:r>
      <w:proofErr w:type="spellStart"/>
      <w:r w:rsidRPr="00B83287">
        <w:rPr>
          <w:rFonts w:ascii="Times New Roman" w:hAnsi="Times New Roman" w:cs="Times New Roman"/>
          <w:i/>
          <w:sz w:val="28"/>
          <w:szCs w:val="28"/>
        </w:rPr>
        <w:t>Тахтамукайском</w:t>
      </w:r>
      <w:proofErr w:type="spell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(+62,4 млн. рублей, 139,8%), Красногвардейском (+11,2 млн. рублей, 135,6%), </w:t>
      </w:r>
      <w:proofErr w:type="spellStart"/>
      <w:r w:rsidRPr="00B83287">
        <w:rPr>
          <w:rFonts w:ascii="Times New Roman" w:hAnsi="Times New Roman" w:cs="Times New Roman"/>
          <w:i/>
          <w:sz w:val="28"/>
          <w:szCs w:val="28"/>
        </w:rPr>
        <w:t>Гиагинском</w:t>
      </w:r>
      <w:proofErr w:type="spell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(+5,5 млн. рублей, 123,6%) и </w:t>
      </w:r>
      <w:proofErr w:type="spellStart"/>
      <w:r w:rsidRPr="00B83287">
        <w:rPr>
          <w:rFonts w:ascii="Times New Roman" w:hAnsi="Times New Roman" w:cs="Times New Roman"/>
          <w:i/>
          <w:sz w:val="28"/>
          <w:szCs w:val="28"/>
        </w:rPr>
        <w:t>Майкопском</w:t>
      </w:r>
      <w:proofErr w:type="spell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(+13,6 млн. рублей, 123,3%) районах. Наибольшая сумма недоимки сложилась по транспортному налогу (341,5 млн. рублей), являющемуся одним из основных источников Дорожного фонда Республики Адыгея, в связи с чем, необходимо проработать вопрос о дополнительных мерах по взысканию указанной задолженности. 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83287">
        <w:rPr>
          <w:rFonts w:ascii="Times New Roman" w:hAnsi="Times New Roman" w:cs="Times New Roman"/>
          <w:i/>
          <w:sz w:val="28"/>
          <w:szCs w:val="28"/>
        </w:rPr>
        <w:t>С 1 января 2018 года зачисление в федеральный бюджет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B83287">
        <w:rPr>
          <w:rFonts w:ascii="Times New Roman" w:hAnsi="Times New Roman" w:cs="Times New Roman"/>
          <w:i/>
          <w:sz w:val="28"/>
          <w:szCs w:val="28"/>
        </w:rPr>
        <w:t>инжекторных</w:t>
      </w:r>
      <w:proofErr w:type="spellEnd"/>
      <w:r w:rsidRPr="00B83287">
        <w:rPr>
          <w:rFonts w:ascii="Times New Roman" w:hAnsi="Times New Roman" w:cs="Times New Roman"/>
          <w:i/>
          <w:sz w:val="28"/>
          <w:szCs w:val="28"/>
        </w:rPr>
        <w:t>) двигателей, производимые на территории  Российской  Федерации  производится в размере - 42,9%. В бюджеты субъектов для последующего перераспределения в соответствии в установленными федеральным законом о бюджете на текущий год нормативами в размере  - 57,1%. Уменьшение норматива зачисления на</w:t>
      </w:r>
      <w:proofErr w:type="gramEnd"/>
      <w:r w:rsidRPr="00B83287">
        <w:rPr>
          <w:rFonts w:ascii="Times New Roman" w:hAnsi="Times New Roman" w:cs="Times New Roman"/>
          <w:i/>
          <w:sz w:val="28"/>
          <w:szCs w:val="28"/>
        </w:rPr>
        <w:t xml:space="preserve"> счет Межрегионального операционного управления федерального казначейства (</w:t>
      </w:r>
      <w:proofErr w:type="gramStart"/>
      <w:r w:rsidRPr="00B83287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B83287">
        <w:rPr>
          <w:rFonts w:ascii="Times New Roman" w:hAnsi="Times New Roman" w:cs="Times New Roman"/>
          <w:i/>
          <w:sz w:val="28"/>
          <w:szCs w:val="28"/>
        </w:rPr>
        <w:t>. Москва) с 61,7 % (2017 год)  до 57,1 % по предварительной оценке приведет к сокращению поступлений доходов от уплаты акцизов на нефтепродукты в текущем году в республиканский бюджет и бюджеты муниципальных образований. Снижение норматива распределения доходов от уплаты акцизов на нефтепродукты в консолидированный бюджет Республики Адыгея  по сравнению с предыдущим годом не произошло (0,3323).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>В 2017 году снижение норматива распределения доходов от уплаты акцизов на нефтепродукты в консолидированный бюджет Республики Адыгея и уменьшение норматива зачисления на счет Межрегионального операционного управления федерального казначейства (</w:t>
      </w:r>
      <w:proofErr w:type="gramStart"/>
      <w:r w:rsidRPr="00B83287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B83287">
        <w:rPr>
          <w:rFonts w:ascii="Times New Roman" w:hAnsi="Times New Roman" w:cs="Times New Roman"/>
          <w:i/>
          <w:sz w:val="28"/>
          <w:szCs w:val="28"/>
        </w:rPr>
        <w:t>. Москва) привело к сокращению поступлений доходов от уплаты акцизов на нефтепродукты в консолидированный бюджет на 310,0 млн. рублей (темп 77,9 процента).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t>Рекомендуем прогнозировать поступления доходов от платы акцизов на нефтепродукты на основании прогнозных оценок доводимых УФК по РА.</w:t>
      </w:r>
    </w:p>
    <w:p w:rsidR="00B83287" w:rsidRPr="00B83287" w:rsidRDefault="00B83287" w:rsidP="00B832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28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Что касается помесячной разбивки, заполняемой всеми муниципальными образованиями в рамках бюджетного  процесса, напоминаем, что изменения вносятся только в случае согласованного с Министерством финансов Республики Адыгея решения СНД об изменении бюджета соответствующей территории. </w:t>
      </w:r>
    </w:p>
    <w:p w:rsidR="00B83287" w:rsidRPr="00B83287" w:rsidRDefault="00B83287" w:rsidP="00B8328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696D" w:rsidRPr="00754B19" w:rsidRDefault="0034696D" w:rsidP="00754B1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Заслушана информация </w:t>
      </w:r>
      <w:r w:rsidR="00767FA2">
        <w:rPr>
          <w:rFonts w:ascii="Times New Roman" w:hAnsi="Times New Roman" w:cs="Times New Roman"/>
          <w:sz w:val="28"/>
          <w:szCs w:val="28"/>
        </w:rPr>
        <w:t>начальника отдела межбюджетных отношений, сводного планирования и мониторинга муниципальных финансов Павловой Н.В.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4B19" w:rsidRPr="00754B19" w:rsidRDefault="00754B19" w:rsidP="00754B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4B19">
        <w:rPr>
          <w:rFonts w:ascii="Times New Roman" w:hAnsi="Times New Roman" w:cs="Times New Roman"/>
          <w:b/>
          <w:i/>
          <w:sz w:val="28"/>
          <w:szCs w:val="28"/>
        </w:rPr>
        <w:t>Д О К Л А Д</w:t>
      </w:r>
    </w:p>
    <w:p w:rsidR="00754B19" w:rsidRPr="00754B19" w:rsidRDefault="00754B19" w:rsidP="00754B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4B19">
        <w:rPr>
          <w:rFonts w:ascii="Times New Roman" w:hAnsi="Times New Roman" w:cs="Times New Roman"/>
          <w:b/>
          <w:i/>
          <w:sz w:val="28"/>
          <w:szCs w:val="28"/>
        </w:rPr>
        <w:t xml:space="preserve">на заседание коллегии </w:t>
      </w:r>
    </w:p>
    <w:p w:rsidR="00754B19" w:rsidRPr="00754B19" w:rsidRDefault="00754B19" w:rsidP="00754B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4B19">
        <w:rPr>
          <w:rFonts w:ascii="Times New Roman" w:hAnsi="Times New Roman" w:cs="Times New Roman"/>
          <w:b/>
          <w:i/>
          <w:sz w:val="28"/>
          <w:szCs w:val="28"/>
        </w:rPr>
        <w:t>Министерства финансов Республики Адыгея</w:t>
      </w:r>
    </w:p>
    <w:p w:rsidR="00754B19" w:rsidRPr="00754B19" w:rsidRDefault="00754B19" w:rsidP="00754B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4B19">
        <w:rPr>
          <w:rFonts w:ascii="Times New Roman" w:hAnsi="Times New Roman" w:cs="Times New Roman"/>
          <w:b/>
          <w:i/>
          <w:sz w:val="28"/>
          <w:szCs w:val="28"/>
        </w:rPr>
        <w:t>29 марта 2018 года</w:t>
      </w:r>
    </w:p>
    <w:p w:rsidR="00754B19" w:rsidRPr="00754B19" w:rsidRDefault="00754B19" w:rsidP="00754B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4B19">
        <w:rPr>
          <w:rFonts w:ascii="Times New Roman" w:hAnsi="Times New Roman" w:cs="Times New Roman"/>
          <w:b/>
          <w:i/>
          <w:sz w:val="28"/>
          <w:szCs w:val="28"/>
        </w:rPr>
        <w:t xml:space="preserve">по вопросу: «Об </w:t>
      </w:r>
      <w:r w:rsidRPr="00754B19">
        <w:rPr>
          <w:rFonts w:ascii="Times New Roman" w:hAnsi="Times New Roman" w:cs="Times New Roman"/>
          <w:b/>
          <w:i/>
          <w:sz w:val="28"/>
        </w:rPr>
        <w:t>итогах исполнения консолидированного и республиканского бюджетов Республики Адыгея за 2017 год</w:t>
      </w:r>
      <w:r w:rsidRPr="00754B1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54B19" w:rsidRPr="00754B19" w:rsidRDefault="00754B19" w:rsidP="00754B1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Основными задачами, стоящими перед финансовой системой Республики Адыгея в 2017 году   были мобилизация бюджетных ресурсов на реализацию Указов Президента Российской Федерации от 7 мая 2012 год и обеспечение сбалансированности республиканского и консолидированного бюджетов Республики Адыгея. Кроме того, перед бюджетом республики стояла цель четко и без отклонений выдержать все параметры соглашений, заключенным с Минфином России, включая исполнение показателей впервые заключенного на 2017 год соглашения о предоставлении дотации на выравнивание бюджетной обеспеченности Республики Адыгея, в рамках которого осуществлялись меры по социально-экономическому развитию и финансовому оздоровлению.</w:t>
      </w:r>
    </w:p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Намеченные цели были достигнуты: обеспечены сбалансированность всех уровней бюджетной </w:t>
      </w:r>
      <w:proofErr w:type="gramStart"/>
      <w:r w:rsidRPr="00754B19">
        <w:rPr>
          <w:rFonts w:ascii="Times New Roman" w:hAnsi="Times New Roman" w:cs="Times New Roman"/>
          <w:i/>
          <w:sz w:val="28"/>
          <w:szCs w:val="28"/>
        </w:rPr>
        <w:t>системы</w:t>
      </w:r>
      <w:proofErr w:type="gram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республики, исполнены принятые Республикой Адыгея обязательства по достижению установленных федеральными Указами и федеральными соглашениями показателей.</w:t>
      </w:r>
    </w:p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Исполнение бюджета Республики Адыгея характеризуется следующими показателями.</w:t>
      </w:r>
    </w:p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Исполнение консолидированного бюджета Республики Адыгея в 2017 году составило по доходам 19056,2 млн. рублей, по расходам 19764,9 млн. рублей, дефицит – 708,7 млн. рублей. Расходная часть консолидированного бюджета Республики Адыгея за 2017 год выполнена на 97,0 процента к плановым назначениям.</w:t>
      </w:r>
    </w:p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Республиканский бюджет Республики Адыгея на 2017 год первоначально утвержден по расходам 14021,1 млн. рублей, по доходам – 13208,8 млн. рублей, с дефицитом 812,3 млн. рублей. </w:t>
      </w:r>
    </w:p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С учетом изменений и дополнений, вносимых в Закон Республики Адыгея «О республиканском бюджете Республики Адыгея на 2017 год и на плановый период 2018 и 2019 годов», производимых в соответствии с законодательством Российской Федерации и Республики Адыгея, утвержденный план по доходам составил 15393,1 млн. рублей, по расходам – 16830,1 млн. рублей.</w:t>
      </w:r>
    </w:p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План по безвозмездным перечислениям увеличен на размер дополнительно поступившей из федерального бюджета дотации на сбалансированность бюджета - 241,8 млн. рублей, уточнение дотаций на выравнивание бюджетной обеспеченности на 79,2 и целевых средств на сумму 2160,7 млн. рублей. Соответственно целевым поступлениям были изменены расходные обязательства. Также были увеличены расходы на сумму остатков средств на счете республиканского бюджета на 1 января 2017 года, неиспользованных в 2016 году. Прогноз общего объема поступлений налоговых и неналоговых доходов республиканского бюджета по сравнению с первоначальным размером был увеличен на 21,2 млн. рублей.</w:t>
      </w:r>
    </w:p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754B19">
        <w:rPr>
          <w:rFonts w:ascii="Times New Roman" w:hAnsi="Times New Roman" w:cs="Times New Roman"/>
          <w:i/>
          <w:spacing w:val="-4"/>
          <w:sz w:val="28"/>
          <w:szCs w:val="28"/>
        </w:rPr>
        <w:t>В результате всех произведенных уточнений плановый дефицит составил 1437,0 млн. рублей. Источниками финансирования дефицита республиканского бюджета были определены получение заемных средств, остатки бюджетных средств, возврат по ранее предоставленным бюджетным кредитам и средства от продажи акций.</w:t>
      </w:r>
    </w:p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754B19">
        <w:rPr>
          <w:rFonts w:ascii="Times New Roman" w:hAnsi="Times New Roman" w:cs="Times New Roman"/>
          <w:i/>
          <w:spacing w:val="-4"/>
          <w:sz w:val="28"/>
          <w:szCs w:val="28"/>
        </w:rPr>
        <w:t>Фактическое исполнение республиканского бюджета по расходам составило 16466,3 млн. рублей или 97,8 процента от уточненного плана, по доходам - 15823,8 млн. рублей или 102,8 процента к уточненному плану, с превышением расходов над доходами (дефицитом) 642,5 млн. рублей.</w:t>
      </w:r>
    </w:p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754B19">
        <w:rPr>
          <w:rFonts w:ascii="Times New Roman" w:hAnsi="Times New Roman" w:cs="Times New Roman"/>
          <w:i/>
          <w:spacing w:val="-4"/>
          <w:sz w:val="28"/>
          <w:szCs w:val="28"/>
        </w:rPr>
        <w:t>При этом фактическое поступление по налоговым и неналоговым поступлениям составило 9066,0 млн. рублей (на 539,5 млн. рублей больше прогноза) или 105,2% к прошлому году.</w:t>
      </w:r>
    </w:p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754B19">
        <w:rPr>
          <w:rFonts w:ascii="Times New Roman" w:hAnsi="Times New Roman" w:cs="Times New Roman"/>
          <w:i/>
          <w:spacing w:val="-4"/>
          <w:sz w:val="28"/>
          <w:szCs w:val="28"/>
        </w:rPr>
        <w:t xml:space="preserve">Перевыполнение доходной части сложилось в связи с </w:t>
      </w:r>
      <w:proofErr w:type="gramStart"/>
      <w:r w:rsidRPr="00754B19">
        <w:rPr>
          <w:rFonts w:ascii="Times New Roman" w:hAnsi="Times New Roman" w:cs="Times New Roman"/>
          <w:i/>
          <w:spacing w:val="-4"/>
          <w:sz w:val="28"/>
          <w:szCs w:val="28"/>
        </w:rPr>
        <w:t>дополнительным</w:t>
      </w:r>
      <w:proofErr w:type="gramEnd"/>
      <w:r w:rsidRPr="00754B1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поступлений налоговых доходов в конце отчетного года. </w:t>
      </w:r>
    </w:p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754B19">
        <w:rPr>
          <w:rFonts w:ascii="Times New Roman" w:hAnsi="Times New Roman" w:cs="Times New Roman"/>
          <w:i/>
          <w:spacing w:val="-4"/>
          <w:sz w:val="28"/>
          <w:szCs w:val="28"/>
        </w:rPr>
        <w:t xml:space="preserve">Значительный объем дополнительных поступлений бюджетных средств был направлен на финансирование дефицита республиканского бюджета, в том числе на погашение долговых обязательств Республики Адыгея. </w:t>
      </w:r>
    </w:p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Исполнение расходных обязатель</w:t>
      </w:r>
      <w:proofErr w:type="gramStart"/>
      <w:r w:rsidRPr="00754B19">
        <w:rPr>
          <w:rFonts w:ascii="Times New Roman" w:hAnsi="Times New Roman" w:cs="Times New Roman"/>
          <w:i/>
          <w:sz w:val="28"/>
          <w:szCs w:val="28"/>
        </w:rPr>
        <w:t>ств сл</w:t>
      </w:r>
      <w:proofErr w:type="gramEnd"/>
      <w:r w:rsidRPr="00754B19">
        <w:rPr>
          <w:rFonts w:ascii="Times New Roman" w:hAnsi="Times New Roman" w:cs="Times New Roman"/>
          <w:i/>
          <w:sz w:val="28"/>
          <w:szCs w:val="28"/>
        </w:rPr>
        <w:t>ожилось по следующим основным направлениям:</w:t>
      </w:r>
    </w:p>
    <w:p w:rsidR="00754B19" w:rsidRPr="00754B19" w:rsidRDefault="00754B19" w:rsidP="00754B19">
      <w:pPr>
        <w:spacing w:after="0"/>
        <w:ind w:firstLine="720"/>
        <w:jc w:val="right"/>
        <w:rPr>
          <w:rFonts w:ascii="Times New Roman" w:hAnsi="Times New Roman" w:cs="Times New Roman"/>
          <w:i/>
        </w:rPr>
      </w:pPr>
      <w:r w:rsidRPr="00754B19">
        <w:rPr>
          <w:rFonts w:ascii="Times New Roman" w:hAnsi="Times New Roman" w:cs="Times New Roman"/>
          <w:i/>
        </w:rPr>
        <w:t>(в тысячах рублей)</w:t>
      </w:r>
    </w:p>
    <w:tbl>
      <w:tblPr>
        <w:tblW w:w="0" w:type="auto"/>
        <w:tblLook w:val="01E0"/>
      </w:tblPr>
      <w:tblGrid>
        <w:gridCol w:w="3520"/>
        <w:gridCol w:w="3546"/>
        <w:gridCol w:w="2504"/>
      </w:tblGrid>
      <w:tr w:rsidR="00754B19" w:rsidRPr="00754B19" w:rsidTr="006F3F15">
        <w:tc>
          <w:tcPr>
            <w:tcW w:w="3520" w:type="dxa"/>
          </w:tcPr>
          <w:p w:rsidR="00754B19" w:rsidRPr="00754B19" w:rsidRDefault="00754B19" w:rsidP="00754B1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46" w:type="dxa"/>
          </w:tcPr>
          <w:p w:rsidR="00754B19" w:rsidRPr="00754B19" w:rsidRDefault="00754B19" w:rsidP="00754B19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Консолидированный бюджет</w:t>
            </w:r>
          </w:p>
        </w:tc>
        <w:tc>
          <w:tcPr>
            <w:tcW w:w="2504" w:type="dxa"/>
          </w:tcPr>
          <w:p w:rsidR="00754B19" w:rsidRPr="00754B19" w:rsidRDefault="00754B19" w:rsidP="00754B19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Республиканский бюджет</w:t>
            </w:r>
          </w:p>
        </w:tc>
      </w:tr>
      <w:tr w:rsidR="00754B19" w:rsidRPr="00754B19" w:rsidTr="006F3F15">
        <w:tc>
          <w:tcPr>
            <w:tcW w:w="3520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1) заработная плата с начислениями государственных учреждений</w:t>
            </w:r>
          </w:p>
        </w:tc>
        <w:tc>
          <w:tcPr>
            <w:tcW w:w="3546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7302260,6</w:t>
            </w:r>
          </w:p>
        </w:tc>
        <w:tc>
          <w:tcPr>
            <w:tcW w:w="2504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2705703,4</w:t>
            </w:r>
          </w:p>
        </w:tc>
      </w:tr>
      <w:tr w:rsidR="00754B19" w:rsidRPr="00754B19" w:rsidTr="006F3F15">
        <w:trPr>
          <w:trHeight w:val="116"/>
        </w:trPr>
        <w:tc>
          <w:tcPr>
            <w:tcW w:w="3520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754B19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3546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504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754B19" w:rsidRPr="00754B19" w:rsidTr="006F3F15">
        <w:tc>
          <w:tcPr>
            <w:tcW w:w="3520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2) социальное обеспечение, </w:t>
            </w: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обеспечение мер социальной поддержки ветеранов труда</w:t>
            </w:r>
          </w:p>
        </w:tc>
        <w:tc>
          <w:tcPr>
            <w:tcW w:w="3546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2279994,5</w:t>
            </w: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393530,8</w:t>
            </w:r>
          </w:p>
        </w:tc>
        <w:tc>
          <w:tcPr>
            <w:tcW w:w="2504" w:type="dxa"/>
          </w:tcPr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1783573,5</w:t>
            </w: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393530,8</w:t>
            </w:r>
          </w:p>
        </w:tc>
      </w:tr>
      <w:tr w:rsidR="00754B19" w:rsidRPr="00754B19" w:rsidTr="006F3F15">
        <w:trPr>
          <w:trHeight w:val="116"/>
        </w:trPr>
        <w:tc>
          <w:tcPr>
            <w:tcW w:w="3520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546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504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754B19" w:rsidRPr="00754B19" w:rsidTr="006F3F15">
        <w:tc>
          <w:tcPr>
            <w:tcW w:w="3520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3) платежи на обязательное медицинское страхование</w:t>
            </w:r>
          </w:p>
        </w:tc>
        <w:tc>
          <w:tcPr>
            <w:tcW w:w="3546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ind w:firstLine="708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1814261,8</w:t>
            </w:r>
          </w:p>
        </w:tc>
        <w:tc>
          <w:tcPr>
            <w:tcW w:w="2504" w:type="dxa"/>
          </w:tcPr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1814261,8</w:t>
            </w: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754B19" w:rsidRPr="00754B19" w:rsidTr="006F3F15">
        <w:tc>
          <w:tcPr>
            <w:tcW w:w="3520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4) 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3546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2303072,1</w:t>
            </w:r>
          </w:p>
        </w:tc>
        <w:tc>
          <w:tcPr>
            <w:tcW w:w="2504" w:type="dxa"/>
          </w:tcPr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1263208,2</w:t>
            </w:r>
          </w:p>
        </w:tc>
      </w:tr>
      <w:tr w:rsidR="00754B19" w:rsidRPr="00754B19" w:rsidTr="006F3F15">
        <w:trPr>
          <w:trHeight w:val="116"/>
        </w:trPr>
        <w:tc>
          <w:tcPr>
            <w:tcW w:w="3520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546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504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754B19" w:rsidRPr="00754B19" w:rsidTr="006F3F15">
        <w:tc>
          <w:tcPr>
            <w:tcW w:w="3520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5) иные закупки товаров, работ и услуг для обеспечения государственных (муниципальных) нужд (питание, медикаменты, коммунальные услуги и т.д.)</w:t>
            </w:r>
          </w:p>
        </w:tc>
        <w:tc>
          <w:tcPr>
            <w:tcW w:w="3546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tabs>
                <w:tab w:val="left" w:pos="989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754B19" w:rsidRPr="00754B19" w:rsidRDefault="00754B19" w:rsidP="00754B19">
            <w:pPr>
              <w:tabs>
                <w:tab w:val="left" w:pos="989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tabs>
                <w:tab w:val="left" w:pos="989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tabs>
                <w:tab w:val="left" w:pos="989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2564437,7</w:t>
            </w:r>
          </w:p>
        </w:tc>
        <w:tc>
          <w:tcPr>
            <w:tcW w:w="2504" w:type="dxa"/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1389416,8</w:t>
            </w:r>
          </w:p>
        </w:tc>
      </w:tr>
      <w:tr w:rsidR="00754B19" w:rsidRPr="00754B19" w:rsidTr="006F3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754B19" w:rsidRPr="00754B19" w:rsidTr="006F3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6) субсидии бюджетным учреждениям (за исключением заработной платы)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tabs>
                <w:tab w:val="left" w:pos="989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754B19" w:rsidRPr="00754B19" w:rsidRDefault="00754B19" w:rsidP="00754B19">
            <w:pPr>
              <w:tabs>
                <w:tab w:val="left" w:pos="989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1842902,2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754B19" w:rsidRPr="00754B19" w:rsidRDefault="00754B19" w:rsidP="00754B1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4B19" w:rsidRPr="00754B19" w:rsidRDefault="00754B19" w:rsidP="00754B19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B19">
              <w:rPr>
                <w:rFonts w:ascii="Times New Roman" w:hAnsi="Times New Roman" w:cs="Times New Roman"/>
                <w:i/>
                <w:sz w:val="28"/>
                <w:szCs w:val="28"/>
              </w:rPr>
              <w:t>827885,7</w:t>
            </w:r>
          </w:p>
        </w:tc>
      </w:tr>
    </w:tbl>
    <w:p w:rsidR="00754B19" w:rsidRPr="00754B19" w:rsidRDefault="00754B19" w:rsidP="00754B19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Наибольший удельный вес занимают выполненные обязательства по выплате заработной платы работникам бюджетной сферы, материальное обеспечение, капитальные вложения, социальное обеспечение.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При этом Республикой Адыгея полностью были выполнены условия заключенных между Минфином России и Кабинетом Министров Республики </w:t>
      </w:r>
      <w:r w:rsidRPr="00754B19">
        <w:rPr>
          <w:rFonts w:ascii="Times New Roman" w:hAnsi="Times New Roman" w:cs="Times New Roman"/>
          <w:i/>
          <w:sz w:val="28"/>
          <w:szCs w:val="28"/>
        </w:rPr>
        <w:lastRenderedPageBreak/>
        <w:t>Адыгея соглашений по сохранению и не превышению установленных соглашениями уровней дефицита бюджета и государственного долга Республики Адыгея.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В ходе исполнения бюджета в 2017 году была продолжена работа в </w:t>
      </w:r>
      <w:r w:rsidRPr="00754B19">
        <w:rPr>
          <w:rFonts w:ascii="Times New Roman" w:eastAsia="Calibri" w:hAnsi="Times New Roman" w:cs="Times New Roman"/>
          <w:i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eastAsia="Calibri" w:hAnsi="Times New Roman" w:cs="Times New Roman"/>
          <w:i/>
          <w:sz w:val="28"/>
          <w:szCs w:val="28"/>
        </w:rPr>
        <w:t xml:space="preserve">Впервые, начиная с января 2017 года, вся  бюджетная отчетность по исполнению консолидированного бюджета Республики Адыгея </w:t>
      </w:r>
      <w:proofErr w:type="gramStart"/>
      <w:r w:rsidRPr="00754B19">
        <w:rPr>
          <w:rFonts w:ascii="Times New Roman" w:eastAsia="Calibri" w:hAnsi="Times New Roman" w:cs="Times New Roman"/>
          <w:i/>
          <w:sz w:val="28"/>
          <w:szCs w:val="28"/>
        </w:rPr>
        <w:t>размещалась и предоставлялась</w:t>
      </w:r>
      <w:proofErr w:type="gramEnd"/>
      <w:r w:rsidRPr="00754B1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54B19">
        <w:rPr>
          <w:rFonts w:ascii="Times New Roman" w:hAnsi="Times New Roman" w:cs="Times New Roman"/>
          <w:i/>
          <w:sz w:val="28"/>
          <w:szCs w:val="28"/>
        </w:rPr>
        <w:t>в ГИИС «Электронный бюджет».</w:t>
      </w:r>
    </w:p>
    <w:p w:rsidR="00754B19" w:rsidRPr="00754B19" w:rsidRDefault="00754B19" w:rsidP="00754B19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754B1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Продолжено обеспечение выполнения мероприятий в части ведения сводного реестра участников бюджетного процесса, а также юридических лиц, не являющихся участниками бюджетного процесса: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754B19">
        <w:rPr>
          <w:rFonts w:ascii="Times New Roman" w:hAnsi="Times New Roman" w:cs="Times New Roman"/>
          <w:bCs/>
          <w:i/>
          <w:color w:val="000000"/>
          <w:sz w:val="28"/>
          <w:szCs w:val="28"/>
        </w:rPr>
        <w:t>- вносились изменения в реестровые записи Сводного реестра в части сведений о полномочиях участников бюджетного процесса, а также юридических лиц, не являющихся участниками бюджетного процесса в сфере закупок;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754B19">
        <w:rPr>
          <w:rFonts w:ascii="Times New Roman" w:hAnsi="Times New Roman" w:cs="Times New Roman"/>
          <w:bCs/>
          <w:i/>
          <w:color w:val="000000"/>
          <w:sz w:val="28"/>
          <w:szCs w:val="28"/>
        </w:rPr>
        <w:t>- приводились в соответствие с федеральными классификаторами учредительные и другие документы участников бюджетного процесса, а также юридических лиц, не являющихся участниками бюджетного процесса.</w:t>
      </w:r>
    </w:p>
    <w:p w:rsidR="00754B19" w:rsidRPr="00754B19" w:rsidRDefault="00754B19" w:rsidP="00754B1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Кроме того, в подсистеме «Бюджетное планирование» ГИИС «Электронный бюджет» заключались соглашения с федеральными министерствами и ведомствами о предоставлении субсидий из федерального бюджета на 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софинансирование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капитальных вложений, проводилась координация деятельности исполнительных органов государственной власти Республики Адыгея и органов местного самоуправления.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754B19">
        <w:rPr>
          <w:rFonts w:ascii="Times New Roman" w:eastAsia="Calibri" w:hAnsi="Times New Roman" w:cs="Times New Roman"/>
          <w:i/>
          <w:sz w:val="28"/>
          <w:szCs w:val="28"/>
        </w:rPr>
        <w:t>В текущем году начата работа по заключению в указанной системе с муниципальными образованиями соглашений о предоставлении</w:t>
      </w:r>
      <w:proofErr w:type="gramEnd"/>
      <w:r w:rsidRPr="00754B19">
        <w:rPr>
          <w:rFonts w:ascii="Times New Roman" w:eastAsia="Calibri" w:hAnsi="Times New Roman" w:cs="Times New Roman"/>
          <w:i/>
          <w:sz w:val="28"/>
          <w:szCs w:val="28"/>
        </w:rPr>
        <w:t xml:space="preserve"> субсидий местным бюджетам, источником финансового обеспечения которых являются межбюджетные трансферты из федерального бюджета.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54B19">
        <w:rPr>
          <w:rFonts w:ascii="Times New Roman" w:eastAsia="Calibri" w:hAnsi="Times New Roman" w:cs="Times New Roman"/>
          <w:i/>
          <w:sz w:val="28"/>
          <w:szCs w:val="28"/>
        </w:rPr>
        <w:t>Также, начата работа в рамках исполнения приказа Минфина России № 243-н по размещению информации на едином портале бюджетной системы РФ по мере поступления инструкций по заполнению и получению доступа к размещению.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В 2017 году республиканским бюджетом обеспечено исполнение бюджетных обязательств перед местными бюджетами на сумму 5660,4 млн. рублей, что составит 128% к прошлому году. Средства передавались муниципальным районам и городским округам Республики Адыгея межбюджетными трансфертами главными распорядителями </w:t>
      </w:r>
      <w:r w:rsidRPr="00754B19">
        <w:rPr>
          <w:rFonts w:ascii="Times New Roman" w:hAnsi="Times New Roman" w:cs="Times New Roman"/>
          <w:i/>
          <w:sz w:val="28"/>
          <w:szCs w:val="28"/>
        </w:rPr>
        <w:lastRenderedPageBreak/>
        <w:t>республиканского бюджета Республики Адыгея, являющимися администраторами указанных средств.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Перечислено дотаций местным бюджетам в сумме 1152,1 млн. рублей. В том числе: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- дотаций на выравнивание бюджетной обеспеченности 785,4 млн. рублей (119,8% к прошлому году);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- дотаций на поддержку мер по обеспечению сбалансированности муниципальных районов (городских округов) – 366,7 млн. рублей (117,7% к 2016 году);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- дотаций за достижение наилучших показателей деятельности органов местного самоуправления – 5,0 млн. рублей.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Республиканским бюджетом согласно фактической потребности исполнены бюджетные обязательства по финансированию передаваемых республиканским бюджетом государственных полномочий федерального бюджета и Республики Адыгея на сумму 2846,7 млн. рублей (103% к прошлому году).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Также передано прочими межбюджетными трансфертами сре</w:t>
      </w:r>
      <w:proofErr w:type="gramStart"/>
      <w:r w:rsidRPr="00754B19">
        <w:rPr>
          <w:rFonts w:ascii="Times New Roman" w:hAnsi="Times New Roman" w:cs="Times New Roman"/>
          <w:i/>
          <w:sz w:val="28"/>
          <w:szCs w:val="28"/>
        </w:rPr>
        <w:t>дств в с</w:t>
      </w:r>
      <w:proofErr w:type="gramEnd"/>
      <w:r w:rsidRPr="00754B19">
        <w:rPr>
          <w:rFonts w:ascii="Times New Roman" w:hAnsi="Times New Roman" w:cs="Times New Roman"/>
          <w:i/>
          <w:sz w:val="28"/>
          <w:szCs w:val="28"/>
        </w:rPr>
        <w:t>умме 200,1 млн. рублей (161,9% к 2016 году) на финансирование социальных мероприятий, (мероприятия по оздоровлению детей, на благоустройство территорий, на мероприятия дорожного хозяйства).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Кроме того, передавались муниципальным районам и городским округам субсидии на 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софинансирование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расходных полномочий местных бюджетов всего на сумму 1464,2 млн. рублей (в 2,6 раз больше 2016 года).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Всего передано 23 вида субсидий на социально-экономическое развитие местных бюджетов (на дороги, обеспечение жильем молодых семей, программа «Доступная среда», поддержку образования, спорта, культуры, сельского хозяйства).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Таким образом, практически все виды финансовой поддержки муниципальным районам и городским округам увеличились. Несмотря на значительные объемы оказываемой безвозмездной поддержки из республиканского бюджета, муниципальными образованиями Республики Адыгея были привлечены бюджетные кредиты на финансирование дефицита местных бюджетов, в большей степени это было связано с необходимостью погашения задолженности по ранее полученным кредитам. </w:t>
      </w:r>
      <w:proofErr w:type="gramStart"/>
      <w:r w:rsidRPr="00754B19">
        <w:rPr>
          <w:rFonts w:ascii="Times New Roman" w:hAnsi="Times New Roman" w:cs="Times New Roman"/>
          <w:i/>
          <w:sz w:val="28"/>
          <w:szCs w:val="28"/>
        </w:rPr>
        <w:t>Всего получено муниципальными районами (городскими округами) из республиканского бюджета бюджетных кредитов на кассовый разрыв 77,9 млн. рублей (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Кошехабльский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район – 45,0 млн. рублей, город 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Адыгейск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– 12,9 млн. рублей, 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Теучежский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район – 20,0 млн. рублей), на погашение дефицита – 143,7 млн. рублей, в том числе город Майкоп – 100,0 млн. рублей, 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Теучежский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4B19">
        <w:rPr>
          <w:rFonts w:ascii="Times New Roman" w:hAnsi="Times New Roman" w:cs="Times New Roman"/>
          <w:i/>
          <w:sz w:val="28"/>
          <w:szCs w:val="28"/>
        </w:rPr>
        <w:lastRenderedPageBreak/>
        <w:t>район – 9,1 млн. рублей, Красногвардейский район – 7,0 млн. рублей, Майкопский район – 18,0 млн</w:t>
      </w:r>
      <w:proofErr w:type="gram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. рублей, город 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Адыгейск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– 7,3 млн. рублей, Шовгеновский район – 2,3 млн. рублей.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Радует, что объемы привлечения кредитов муниципальными районами (городскими округами) из республиканского бюджета снижаются. Так привлечение кредитов на кассовый разрыв составляет 45,1% к 2016 году, на дефицит 32,5%. Хотелось бы, чтобы эта тенденция продолжалась, особенно в отдельных муниципальных районах, у которых сложились большие объемы муниципального долга. И хотелось бы более взвешенной долговой политики у тех муниципальных районов и городских округов, у которых остались значительные остатки на счетах на конец года, а значит, привлечение кредитов не </w:t>
      </w:r>
      <w:proofErr w:type="gramStart"/>
      <w:r w:rsidRPr="00754B19">
        <w:rPr>
          <w:rFonts w:ascii="Times New Roman" w:hAnsi="Times New Roman" w:cs="Times New Roman"/>
          <w:i/>
          <w:sz w:val="28"/>
          <w:szCs w:val="28"/>
        </w:rPr>
        <w:t>было необходимой мерой и привело просто к росту долговых обязательств и учитывая</w:t>
      </w:r>
      <w:proofErr w:type="gram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их 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дотационность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к снижению финансовой устойчивости данных местных бюджетов.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Общая задолженность муниципальных районов (городских округов) по бюджетным кредитам республиканскому бюджету также снизилась с 933,7 млн. рублей в 2016 году до 867,4 млн. рублей </w:t>
      </w:r>
      <w:proofErr w:type="gramStart"/>
      <w:r w:rsidRPr="00754B19">
        <w:rPr>
          <w:rFonts w:ascii="Times New Roman" w:hAnsi="Times New Roman" w:cs="Times New Roman"/>
          <w:i/>
          <w:sz w:val="28"/>
          <w:szCs w:val="28"/>
        </w:rPr>
        <w:t>на конец</w:t>
      </w:r>
      <w:proofErr w:type="gram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2017 года, но продолжает оставаться высокой и естественно требует мер по ее снижению.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В разрезе муниципальных районов (городских округов) показатели муниципального долга на 1.01.2018 (включая коммерческие) следующие: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- город Майкоп – 908,9 млн. рублей;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- город 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Адыгейск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– 35,3 млн. рулей;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- Майкопский район – 48,0 млн. рублей;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- Шовгеновский район – 2,3 млн. рублей;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- Красногвардейский район – 28,5 млн. рублей;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Кошехабльский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район – 74,0 млн. рублей;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Теучежский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район – 70,5 млн. рублей.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Как и в прошлом году, наибольший уровень долговых обязательств по отношению к налоговым и неналоговым доходам сложился у 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Кошехабльского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Теучежского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районов, что ставит перед данными районами задачи по его снижению.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Консолидированные бюджеты муниципальных районов (городских округов) за 2017 год исполнены по доходам на сумму 8907,3 млн. рублей при уточненном плане 8869,2 млн. рублей (100,4%), по расходам на 8973,4 млн. рублей при годовом плане 9231,4 млн. рублей (97,2%) с дефицитом 66,1 млн. рублей при плановом дефиците 362,2 млн. рублей. 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Дефицит по исполнению консолидированных бюджетов  сложился у 3-х муниципальных районов и у 2-х городских округов. С </w:t>
      </w:r>
      <w:proofErr w:type="spellStart"/>
      <w:r w:rsidRPr="00754B19">
        <w:rPr>
          <w:rFonts w:ascii="Times New Roman" w:hAnsi="Times New Roman" w:cs="Times New Roman"/>
          <w:i/>
          <w:sz w:val="28"/>
          <w:szCs w:val="28"/>
        </w:rPr>
        <w:t>профицитом</w:t>
      </w:r>
      <w:proofErr w:type="spellEnd"/>
      <w:r w:rsidRPr="00754B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4B1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завершили год 4 района. При этом у всех муниципальных районов (городских округов) сложились остатки на счетах – всего на сумму 328,5 млн. рублей, в том числе целевые – на сумму 127,5 млн. рублей, нецелевые – 201,1 млн. рублей. Это говорит о том, что отдельными муниципальными образованиями в условиях трудно прогнозируемой финансово-экономической ситуации были привлечены, но в ходе исполнения бюджета не использованы в полном объеме финансовые ресурсы, которые и оказались в остатках на начало 2018 года. </w:t>
      </w:r>
    </w:p>
    <w:p w:rsidR="00754B19" w:rsidRPr="00754B19" w:rsidRDefault="00754B19" w:rsidP="00754B1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 xml:space="preserve">Большой удельный вес в расходах муниципальных районов (городских округов) занимают выплаты по заработной плате 4596,9 млн. рублей, 51,2% от общей суммы. Материальные затраты муниципальных учреждений 2201,5 – 24,5%, социальное обеспечение – 496,4 млн. рублей, капитальные вложения – 1039,8 млн. рублей (в 2,9 раз больше 2016 года). В значительном объеме привлекаются финансовые ресурсы на расходы по дорожному хозяйству, исполнение по которым за 2017 год составило 639,1 млн. рублей (в 1,8 раз больше 2016 года). 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19">
        <w:rPr>
          <w:rFonts w:ascii="Times New Roman" w:hAnsi="Times New Roman" w:cs="Times New Roman"/>
          <w:i/>
          <w:sz w:val="28"/>
          <w:szCs w:val="28"/>
        </w:rPr>
        <w:t>Как и в прошлом году на 2018 год муниципальными образованиями было заключено два вида соглашений.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Первое -  это соглашения, которые заключаются </w:t>
      </w:r>
      <w:proofErr w:type="gram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>согласно статьи</w:t>
      </w:r>
      <w:proofErr w:type="gramEnd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 136 Бюджетного кодекса Российской Федерации в зависимости от доли дотаций из других бюджетов в объеме собственных доходов местного бюджета. </w:t>
      </w:r>
      <w:proofErr w:type="gram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В соответствии с приказом Министерства финансов Республики Адыгея от 14 ноября 2017 года № 128-А в перечень муниципальных образований, в бюджетах которых доля дотаций в объеме собственных доходов местного бюджета в течение двух из трех последних отчетных финансовых лет (расчет производился за 2014, 2015, 2016 годы) превышала 50 процентов, вошли муниципальные образования: «г. </w:t>
      </w:r>
      <w:proofErr w:type="spell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>Адыгейск</w:t>
      </w:r>
      <w:proofErr w:type="spellEnd"/>
      <w:r w:rsidRPr="00754B19">
        <w:rPr>
          <w:rFonts w:ascii="Times New Roman" w:hAnsi="Times New Roman" w:cs="Times New Roman"/>
          <w:bCs/>
          <w:i/>
          <w:sz w:val="28"/>
          <w:szCs w:val="28"/>
        </w:rPr>
        <w:t>», «</w:t>
      </w:r>
      <w:proofErr w:type="spell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>Теучежский</w:t>
      </w:r>
      <w:proofErr w:type="spellEnd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 район», «Шовгеновский район», «</w:t>
      </w:r>
      <w:proofErr w:type="spell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>Егерухайское</w:t>
      </w:r>
      <w:proofErr w:type="spellEnd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 сельское поселение</w:t>
      </w:r>
      <w:proofErr w:type="gramEnd"/>
      <w:r w:rsidRPr="00754B19">
        <w:rPr>
          <w:rFonts w:ascii="Times New Roman" w:hAnsi="Times New Roman" w:cs="Times New Roman"/>
          <w:bCs/>
          <w:i/>
          <w:sz w:val="28"/>
          <w:szCs w:val="28"/>
        </w:rPr>
        <w:t>», «</w:t>
      </w:r>
      <w:proofErr w:type="spell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>Джиджихабльское</w:t>
      </w:r>
      <w:proofErr w:type="spellEnd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 сельское поселение», «</w:t>
      </w:r>
      <w:proofErr w:type="spell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>Джерокайское</w:t>
      </w:r>
      <w:proofErr w:type="spellEnd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 сельское поселение», «</w:t>
      </w:r>
      <w:proofErr w:type="spell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>Мамхегское</w:t>
      </w:r>
      <w:proofErr w:type="spellEnd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 сельское поселение», «</w:t>
      </w:r>
      <w:proofErr w:type="spell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>Ассоколайское</w:t>
      </w:r>
      <w:proofErr w:type="spellEnd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 сельское поселение», «</w:t>
      </w:r>
      <w:proofErr w:type="spell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>Вочепшийское</w:t>
      </w:r>
      <w:proofErr w:type="spellEnd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 сельское поселение» </w:t>
      </w:r>
      <w:proofErr w:type="gram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>-в</w:t>
      </w:r>
      <w:proofErr w:type="gramEnd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сего 9 муниципальных образований с которыми и были заключены соглашения, что больше 2016 года на 4 муниципальных образования. Увеличение числа </w:t>
      </w:r>
      <w:proofErr w:type="spell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>высокодотационных</w:t>
      </w:r>
      <w:proofErr w:type="spellEnd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 муниципальных образований сложилось в основном из-за больших объемов дотаций на сбалансированность бюджетов, полученных местными бюджетами.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Второе -  это соглашения, которые уже второй год заключаются с муниципальными образованиями – получателями дотации на выравнивание бюджетной обеспеченности. В этом году они заключены немного в другом </w:t>
      </w:r>
      <w:r w:rsidRPr="00754B19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формате: изменено название с акцентом на </w:t>
      </w:r>
      <w:proofErr w:type="spell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>предусматрение</w:t>
      </w:r>
      <w:proofErr w:type="spellEnd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 мер по социально-экономическому развитию и оздоровлению муниципальных финансов. Соглашения заключены аналогично соглашению, которое Республика Адыгея заключила на федеральном уровне с Минфином России.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В данных соглашениях, как с республикой, так и с муниципальными образованиями уделяется большое значение усилению мер по оздоровлению государственных и муниципальных финансов. Кроме того, надо отметить, что на данный момент рассматриваются возможные поправки в Бюджетный кодекс Российской Федерации, согласно которым заключение соглашений по социально-экономическому развитию между субъектом Российской Федерации и муниципальными образованиями, получающими дотации, будет обязательно. 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4B19">
        <w:rPr>
          <w:rFonts w:ascii="Times New Roman" w:hAnsi="Times New Roman" w:cs="Times New Roman"/>
          <w:bCs/>
          <w:i/>
          <w:sz w:val="28"/>
          <w:szCs w:val="28"/>
        </w:rPr>
        <w:t>Оздоровление финансов включает в себя меры по согласованию проектов бюджетов и внесение изменений в них, недопущение необоснованного роста расходных обязательств, реализация программ по оптимизации расходов, повышению собираемости доходной части бюджета, не снижение темпов экономического роста. Также первоочередным обязательным требованием остается исполнение Указов Президента Российской Федерации.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4B19">
        <w:rPr>
          <w:rFonts w:ascii="Times New Roman" w:hAnsi="Times New Roman" w:cs="Times New Roman"/>
          <w:bCs/>
          <w:i/>
          <w:sz w:val="28"/>
          <w:szCs w:val="28"/>
        </w:rPr>
        <w:t>В 2018 году на федеральном уровне был изменен формат соглашения: к данным мерам добавлено условие – не превышения расчетных модельных расходов бюджета. Как это скажется в дальнейшем на бюджете Республики Адыгея пока непонятно, но ясно, что данная мера ограничивает наращивание бюджетных расходов для всех уровней бюджетов республики. Это требование  означает полный запрет на включение в бюджеты необоснованных, не имеющих первоочередной потребности обязательств, чтобы в дальнейшем не пришлось принимать срочные меры по их сокращению.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Поэтому просим вас который раз более ответственно отнестись к выполнению условий соглашений. За 2017 год не всеми муниципальными образованиями были выполнены отдельные принятые по соглашениям обязательства. 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754B19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В 2017 году приоритетом в части исполнения социальных обязательств оставалось обеспечения выплаты заработной платы отдельным категориям работников бюджетной сферы, повышение которым предусмотрено  указами Президента Российской Федерации.  Целевые показатели, установленные в региональных «дорожных картах» на 2017 год, в целом по республике были достигнуты. Несмотря на значительный рост индикативных значений показателей и увеличение </w:t>
      </w:r>
      <w:r w:rsidRPr="00754B19">
        <w:rPr>
          <w:rFonts w:ascii="Times New Roman" w:hAnsi="Times New Roman" w:cs="Times New Roman"/>
          <w:bCs/>
          <w:i/>
          <w:color w:val="000000"/>
          <w:sz w:val="28"/>
          <w:szCs w:val="28"/>
        </w:rPr>
        <w:lastRenderedPageBreak/>
        <w:t xml:space="preserve">потребности в расходах по сравнению с 2016 годом, местные бюджеты обязательства в части работников культуры и работников дополнительного образования детей - выполнили. 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754B19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В 2018 году финансовое обеспечение завершающего этапа реализации «майских» указов также остается приоритетом в части исполнения социальных обязательств, при этом есть новые поставленные задачи - это обеспечение выплаты минимального </w:t>
      </w:r>
      <w:proofErr w:type="gramStart"/>
      <w:r w:rsidRPr="00754B19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размера оплаты труда</w:t>
      </w:r>
      <w:proofErr w:type="gramEnd"/>
      <w:r w:rsidRPr="00754B19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: с 1 января в размере 9489 рубля и с 1 мая 11163 рубля. Республиканским бюджетом после проведения всех необходимых расчетов будет оказана финансовая помощь местным бюджетам, но помощь эта будет частична в зависимости от финансового состояния бюджетов и мер принимаемых  самими муниципальными районами и городскими округами по обеспечению </w:t>
      </w:r>
      <w:proofErr w:type="spellStart"/>
      <w:r w:rsidRPr="00754B19">
        <w:rPr>
          <w:rFonts w:ascii="Times New Roman" w:hAnsi="Times New Roman" w:cs="Times New Roman"/>
          <w:bCs/>
          <w:i/>
          <w:color w:val="000000"/>
          <w:sz w:val="28"/>
          <w:szCs w:val="28"/>
        </w:rPr>
        <w:t>зарплатных</w:t>
      </w:r>
      <w:proofErr w:type="spellEnd"/>
      <w:r w:rsidRPr="00754B19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выплат. Поэтому, при распределении дополнительно поступающих доходов, муниципальные образования должны учитывать первоочередное выполнение этих обязательств, мобилизуя на них финансовые ресурсы.</w:t>
      </w:r>
    </w:p>
    <w:p w:rsidR="00754B19" w:rsidRPr="00754B19" w:rsidRDefault="00754B19" w:rsidP="00754B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Таким образом, подведя итоги, отметим, что одной из основных задач бюджетной политики в 2018 году является оздоровление государственных и муниципальных финансов, которое должно проводиться с видимым бюджетным эффектом: повышение собираемости доходов, рациональное использование, оптимизация и экономия финансовых ресурсов, снижение </w:t>
      </w:r>
      <w:proofErr w:type="spellStart"/>
      <w:r w:rsidRPr="00754B19">
        <w:rPr>
          <w:rFonts w:ascii="Times New Roman" w:hAnsi="Times New Roman" w:cs="Times New Roman"/>
          <w:bCs/>
          <w:i/>
          <w:sz w:val="28"/>
          <w:szCs w:val="28"/>
        </w:rPr>
        <w:t>дотационности</w:t>
      </w:r>
      <w:proofErr w:type="spellEnd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 местных бюджетов, недопущение возникновения просроченной кредиторской задолженности, сокращение долговых обязательств.</w:t>
      </w:r>
      <w:proofErr w:type="gramEnd"/>
      <w:r w:rsidRPr="00754B19">
        <w:rPr>
          <w:rFonts w:ascii="Times New Roman" w:hAnsi="Times New Roman" w:cs="Times New Roman"/>
          <w:bCs/>
          <w:i/>
          <w:sz w:val="28"/>
          <w:szCs w:val="28"/>
        </w:rPr>
        <w:t xml:space="preserve"> Без реализации этих мер обеспечение сбалансированности местных бюджетов и консолидированного бюджета республики невозможно.</w:t>
      </w:r>
    </w:p>
    <w:p w:rsidR="003134F7" w:rsidRDefault="003134F7" w:rsidP="00346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696D" w:rsidRPr="000E63A3" w:rsidRDefault="003134F7" w:rsidP="003469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 Долев Д.З.</w:t>
      </w:r>
    </w:p>
    <w:p w:rsidR="0034696D" w:rsidRPr="00CD738C" w:rsidRDefault="0034696D" w:rsidP="00346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96D" w:rsidRDefault="0034696D" w:rsidP="00346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По вопросу «</w:t>
      </w:r>
      <w:r w:rsidRPr="00CD738C">
        <w:rPr>
          <w:rFonts w:ascii="Times New Roman" w:hAnsi="Times New Roman" w:cs="Times New Roman"/>
          <w:sz w:val="28"/>
          <w:szCs w:val="28"/>
        </w:rPr>
        <w:t>О некоторых вопросах проведения мониторинга и составления рейтинга муниципальных образований Республики Адыгея по уро</w:t>
      </w:r>
      <w:r>
        <w:rPr>
          <w:rFonts w:ascii="Times New Roman" w:hAnsi="Times New Roman" w:cs="Times New Roman"/>
          <w:sz w:val="28"/>
          <w:szCs w:val="28"/>
        </w:rPr>
        <w:t>вню открытости бюджетных данных</w:t>
      </w:r>
      <w:r w:rsidR="003134F7">
        <w:rPr>
          <w:rFonts w:ascii="Times New Roman" w:hAnsi="Times New Roman" w:cs="Times New Roman"/>
          <w:sz w:val="28"/>
          <w:szCs w:val="28"/>
        </w:rPr>
        <w:t xml:space="preserve"> за 2017 год</w:t>
      </w:r>
      <w:r>
        <w:rPr>
          <w:rFonts w:ascii="Times New Roman" w:hAnsi="Times New Roman" w:cs="Times New Roman"/>
          <w:sz w:val="28"/>
          <w:szCs w:val="28"/>
        </w:rPr>
        <w:t>»:</w:t>
      </w:r>
      <w:r w:rsidRPr="00CD7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96D" w:rsidRPr="00E961EC" w:rsidRDefault="0034696D" w:rsidP="00346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7A1">
        <w:rPr>
          <w:rFonts w:ascii="Times New Roman" w:hAnsi="Times New Roman" w:cs="Times New Roman"/>
          <w:sz w:val="28"/>
        </w:rPr>
        <w:t>Заслушан</w:t>
      </w:r>
      <w:r>
        <w:rPr>
          <w:rFonts w:ascii="Times New Roman" w:hAnsi="Times New Roman" w:cs="Times New Roman"/>
          <w:sz w:val="28"/>
        </w:rPr>
        <w:t xml:space="preserve">а информация начальника отдела методологии и мониторинга государственных финансов Республики Адыгея </w:t>
      </w:r>
      <w:proofErr w:type="spellStart"/>
      <w:r>
        <w:rPr>
          <w:rFonts w:ascii="Times New Roman" w:hAnsi="Times New Roman" w:cs="Times New Roman"/>
          <w:sz w:val="28"/>
        </w:rPr>
        <w:t>Удычака</w:t>
      </w:r>
      <w:proofErr w:type="spellEnd"/>
      <w:r>
        <w:rPr>
          <w:rFonts w:ascii="Times New Roman" w:hAnsi="Times New Roman" w:cs="Times New Roman"/>
          <w:sz w:val="28"/>
        </w:rPr>
        <w:t xml:space="preserve"> А.Ю.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34E3" w:rsidRPr="002734E3" w:rsidRDefault="002734E3" w:rsidP="002734E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734E3">
        <w:rPr>
          <w:rFonts w:ascii="Times New Roman" w:hAnsi="Times New Roman"/>
          <w:b/>
          <w:i/>
          <w:sz w:val="28"/>
          <w:szCs w:val="28"/>
        </w:rPr>
        <w:t>Д О К Л А Д</w:t>
      </w:r>
    </w:p>
    <w:p w:rsidR="002734E3" w:rsidRPr="002734E3" w:rsidRDefault="002734E3" w:rsidP="002734E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734E3">
        <w:rPr>
          <w:rFonts w:ascii="Times New Roman" w:hAnsi="Times New Roman"/>
          <w:b/>
          <w:i/>
          <w:sz w:val="28"/>
          <w:szCs w:val="28"/>
        </w:rPr>
        <w:t xml:space="preserve">на заседание коллегии </w:t>
      </w:r>
    </w:p>
    <w:p w:rsidR="002734E3" w:rsidRPr="002734E3" w:rsidRDefault="002734E3" w:rsidP="002734E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734E3">
        <w:rPr>
          <w:rFonts w:ascii="Times New Roman" w:hAnsi="Times New Roman"/>
          <w:b/>
          <w:i/>
          <w:sz w:val="28"/>
          <w:szCs w:val="28"/>
        </w:rPr>
        <w:t>Министерства финансов Республики Адыгея</w:t>
      </w:r>
    </w:p>
    <w:p w:rsidR="002734E3" w:rsidRPr="002734E3" w:rsidRDefault="002734E3" w:rsidP="002734E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734E3">
        <w:rPr>
          <w:rFonts w:ascii="Times New Roman" w:hAnsi="Times New Roman"/>
          <w:b/>
          <w:i/>
          <w:sz w:val="28"/>
          <w:szCs w:val="28"/>
        </w:rPr>
        <w:t>29 марта 2018 года</w:t>
      </w:r>
    </w:p>
    <w:p w:rsidR="002734E3" w:rsidRPr="002734E3" w:rsidRDefault="002734E3" w:rsidP="002734E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2734E3">
        <w:rPr>
          <w:rFonts w:ascii="Times New Roman" w:hAnsi="Times New Roman"/>
          <w:b/>
          <w:i/>
          <w:sz w:val="28"/>
          <w:szCs w:val="28"/>
        </w:rPr>
        <w:lastRenderedPageBreak/>
        <w:t>по вопросу: «</w:t>
      </w:r>
      <w:r w:rsidRPr="002734E3">
        <w:rPr>
          <w:rFonts w:ascii="Times New Roman" w:hAnsi="Times New Roman"/>
          <w:b/>
          <w:i/>
          <w:sz w:val="28"/>
          <w:szCs w:val="24"/>
        </w:rPr>
        <w:t>О результатах мониторинга и оценки</w:t>
      </w:r>
    </w:p>
    <w:p w:rsidR="002734E3" w:rsidRPr="002734E3" w:rsidRDefault="002734E3" w:rsidP="002734E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2734E3">
        <w:rPr>
          <w:rFonts w:ascii="Times New Roman" w:hAnsi="Times New Roman"/>
          <w:b/>
          <w:i/>
          <w:sz w:val="28"/>
          <w:szCs w:val="24"/>
        </w:rPr>
        <w:t>муниципальных районов и городских округов Республики Адыгея</w:t>
      </w:r>
    </w:p>
    <w:p w:rsidR="002734E3" w:rsidRPr="002734E3" w:rsidRDefault="002734E3" w:rsidP="002734E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734E3">
        <w:rPr>
          <w:rFonts w:ascii="Times New Roman" w:hAnsi="Times New Roman"/>
          <w:b/>
          <w:i/>
          <w:sz w:val="28"/>
          <w:szCs w:val="24"/>
        </w:rPr>
        <w:t>по уровню открытости бюджетных данных за 2017 год</w:t>
      </w:r>
      <w:r w:rsidRPr="002734E3">
        <w:rPr>
          <w:rFonts w:ascii="Times New Roman" w:hAnsi="Times New Roman"/>
          <w:b/>
          <w:i/>
          <w:sz w:val="28"/>
          <w:szCs w:val="28"/>
        </w:rPr>
        <w:t>»</w:t>
      </w:r>
    </w:p>
    <w:p w:rsidR="002734E3" w:rsidRPr="002734E3" w:rsidRDefault="002734E3" w:rsidP="002734E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bCs/>
          <w:i/>
          <w:sz w:val="28"/>
          <w:szCs w:val="28"/>
        </w:rPr>
        <w:t>Министерством финансов Республики Адыгея в 2017 году проводился</w:t>
      </w:r>
      <w:r w:rsidRPr="002734E3">
        <w:rPr>
          <w:rFonts w:ascii="Times New Roman" w:hAnsi="Times New Roman"/>
          <w:i/>
          <w:sz w:val="28"/>
          <w:szCs w:val="28"/>
        </w:rPr>
        <w:t xml:space="preserve"> мониторинг муниципальных районов (городских округов) по уровню открытости бюджетных данных в соответствии с методикой проведения мониторинга и составления рейтинга муниципальных образований Республики Адыгея по уровню открытости бюджетных данных (далее – Методика). 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 xml:space="preserve">Мониторинг открытости бюджетных данных проводился в целях реализации решения, содержащегося  в пункте 13  раздела </w:t>
      </w:r>
      <w:r w:rsidRPr="002734E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2734E3">
        <w:rPr>
          <w:rFonts w:ascii="Times New Roman" w:hAnsi="Times New Roman"/>
          <w:i/>
          <w:sz w:val="28"/>
          <w:szCs w:val="28"/>
        </w:rPr>
        <w:t xml:space="preserve">  протокола  заседания Правительственной комиссии по координации деятельности открытого правительства</w:t>
      </w:r>
      <w:r w:rsidRPr="002734E3">
        <w:rPr>
          <w:i/>
          <w:sz w:val="28"/>
          <w:szCs w:val="28"/>
        </w:rPr>
        <w:t xml:space="preserve"> </w:t>
      </w:r>
      <w:r w:rsidRPr="002734E3">
        <w:rPr>
          <w:rFonts w:ascii="Times New Roman" w:hAnsi="Times New Roman"/>
          <w:i/>
          <w:sz w:val="28"/>
          <w:szCs w:val="28"/>
        </w:rPr>
        <w:t>от 17 декабря 2015 года, а также стимулирования муниципальных районов (городских  округов) к повышению уровня открытости бюджетных данных.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>Мониторинг  проводился ежеквартально нарастающим итогом по состоянию на 1 апреля, 1 июля, 1 октября (ежеквартальный мониторинг) и по итогам завершения финансового года по состоянию на 1 января года, следующего за отчетным финансовым годом (годовой мониторинг) исходя из основных этапов бюджетного цикла. По результатам мониторинга составлен итоговый рейтинг, который учитывает результаты всех вышеуказанных этапов мониторинга.</w:t>
      </w:r>
    </w:p>
    <w:p w:rsidR="002734E3" w:rsidRPr="002734E3" w:rsidRDefault="002734E3" w:rsidP="002734E3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2734E3">
        <w:rPr>
          <w:i/>
          <w:color w:val="000000"/>
          <w:sz w:val="28"/>
          <w:szCs w:val="28"/>
        </w:rPr>
        <w:t>В соответствии с Методикой предварительные итоги мониторинга в виде таблицы исходных данных  после каждого этапа направлялись в муниципальные районы (городские округа) для</w:t>
      </w:r>
      <w:r w:rsidRPr="002734E3">
        <w:rPr>
          <w:i/>
          <w:sz w:val="28"/>
          <w:szCs w:val="28"/>
        </w:rPr>
        <w:t xml:space="preserve"> согласования. 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2734E3">
        <w:rPr>
          <w:rFonts w:ascii="Times New Roman" w:hAnsi="Times New Roman"/>
          <w:i/>
          <w:sz w:val="28"/>
          <w:szCs w:val="28"/>
        </w:rPr>
        <w:t>Объектом мониторинга в 2017 году стали: характеристика первоначально утвержденного бюджета на 2017-2019 годы, публичные сведения о плановых показателях деятельности муниципальных учреждений муниципального образования на 2017 год,</w:t>
      </w:r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годовой отчет об исполнении бюджета  за 2016 год, </w:t>
      </w:r>
      <w:r w:rsidRPr="002734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публичные сведения о фактических результатах деятельности </w:t>
      </w:r>
      <w:r w:rsidRPr="002734E3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муниципальных учреждений муниципального образования за 2016 год, внесение изменений в решение о бюджете на 2017-2019 годы, промежуточная отчетность об исполнении</w:t>
      </w:r>
      <w:proofErr w:type="gramEnd"/>
      <w:r w:rsidRPr="002734E3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 </w:t>
      </w:r>
      <w:proofErr w:type="gramStart"/>
      <w:r w:rsidRPr="002734E3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бюджета в 2017 году и аналитические данные, финансовый контроль, </w:t>
      </w:r>
      <w:r w:rsidRPr="002734E3">
        <w:rPr>
          <w:rFonts w:ascii="Times New Roman" w:hAnsi="Times New Roman"/>
          <w:bCs/>
          <w:i/>
          <w:sz w:val="28"/>
          <w:szCs w:val="28"/>
        </w:rPr>
        <w:t xml:space="preserve"> проект бюджета на 2018 - 2020 годы и материалы к нему, </w:t>
      </w:r>
      <w:r w:rsidRPr="002734E3">
        <w:rPr>
          <w:rFonts w:ascii="Times New Roman" w:hAnsi="Times New Roman"/>
          <w:i/>
          <w:sz w:val="28"/>
          <w:szCs w:val="28"/>
        </w:rPr>
        <w:t>бюджеты для граждан, подготовленные на основе следующих документов: к решению о бюджете на 2017- 2019 годы, к годовому отчету за 2016 год и к проекту решения о бюджете на 2018 – 2020 годы.</w:t>
      </w:r>
      <w:proofErr w:type="gramEnd"/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>По разделу «</w:t>
      </w:r>
      <w:r w:rsidRPr="002734E3">
        <w:rPr>
          <w:rFonts w:ascii="Times New Roman" w:hAnsi="Times New Roman"/>
          <w:b/>
          <w:i/>
          <w:sz w:val="28"/>
          <w:szCs w:val="28"/>
        </w:rPr>
        <w:t xml:space="preserve">Характеристика первоначально утвержденного бюджета» </w:t>
      </w:r>
      <w:r w:rsidRPr="002734E3">
        <w:rPr>
          <w:rFonts w:ascii="Times New Roman" w:hAnsi="Times New Roman"/>
          <w:i/>
          <w:sz w:val="28"/>
          <w:szCs w:val="28"/>
        </w:rPr>
        <w:t xml:space="preserve">мониторинг проводился в отношении опубликованного на сайте муниципального образования (сайте  финансового органа) решения о бюджете  на 2017 год и плановый период 2018 и 2019 годов, а именно его своевременной публикации  в структурированном виде. </w:t>
      </w:r>
    </w:p>
    <w:p w:rsidR="002734E3" w:rsidRPr="002734E3" w:rsidRDefault="002734E3" w:rsidP="002734E3">
      <w:pPr>
        <w:pStyle w:val="aa"/>
        <w:tabs>
          <w:tab w:val="left" w:pos="709"/>
        </w:tabs>
        <w:spacing w:after="60"/>
        <w:ind w:firstLine="425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lastRenderedPageBreak/>
        <w:t>Все муниципальные районы (городские округа) опубликовали на сайтах решения о бюджете на 2017 год, но только  4 из 9 в структурированном виде.</w:t>
      </w:r>
    </w:p>
    <w:p w:rsidR="002734E3" w:rsidRPr="002734E3" w:rsidRDefault="002734E3" w:rsidP="002734E3">
      <w:pPr>
        <w:pStyle w:val="aa"/>
        <w:tabs>
          <w:tab w:val="left" w:pos="709"/>
        </w:tabs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 xml:space="preserve">К публикуемым документам, в состав которых входят приложения, предъявляются требования в части оформления. Такие документы рекомендуется публиковать в структурированном виде, с указанием полных или кратких наименований всех составляющих. Наименование должно характеризовать содержание соответствующего документа. Под структурированным видом понимаются следующие варианты: </w:t>
      </w:r>
    </w:p>
    <w:p w:rsidR="002734E3" w:rsidRPr="002734E3" w:rsidRDefault="002734E3" w:rsidP="002734E3">
      <w:pPr>
        <w:pStyle w:val="aa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 xml:space="preserve">наличие содержания к документу с возможностью перехода по ссылке к соответствующему приложению; </w:t>
      </w:r>
    </w:p>
    <w:p w:rsidR="002734E3" w:rsidRPr="002734E3" w:rsidRDefault="002734E3" w:rsidP="002734E3">
      <w:pPr>
        <w:pStyle w:val="aa"/>
        <w:numPr>
          <w:ilvl w:val="0"/>
          <w:numId w:val="3"/>
        </w:numPr>
        <w:tabs>
          <w:tab w:val="left" w:pos="709"/>
        </w:tabs>
        <w:ind w:left="0" w:firstLine="425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 xml:space="preserve">публикация текстовой части и приложений отдельными файлами с указанием их полных или кратких наименований. 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>По разделу</w:t>
      </w:r>
      <w:r w:rsidRPr="002734E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«Годовой отчет об исполнении бюджета»</w:t>
      </w:r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оценивался проект </w:t>
      </w:r>
      <w:r w:rsidRPr="002734E3">
        <w:rPr>
          <w:rFonts w:ascii="Times New Roman" w:eastAsia="Times New Roman" w:hAnsi="Times New Roman"/>
          <w:i/>
          <w:sz w:val="28"/>
          <w:szCs w:val="28"/>
        </w:rPr>
        <w:t>решения об исполнении бюджета за 2016 год и материалы к нему, а также наличие информационного сообщения для граждан о проведении публичных слушаний по годовому отчету об исполнении бюджета за отчетный год.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Наибольший процент от максимального количества баллов по данному разделу достигли четыре муниципальных образования: город </w:t>
      </w:r>
      <w:proofErr w:type="spellStart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>Адыгейск</w:t>
      </w:r>
      <w:proofErr w:type="spellEnd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, город Майкоп, </w:t>
      </w:r>
      <w:proofErr w:type="spellStart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>Кошехабльский</w:t>
      </w:r>
      <w:proofErr w:type="spellEnd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и </w:t>
      </w:r>
      <w:proofErr w:type="spellStart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>Гиагинский</w:t>
      </w:r>
      <w:proofErr w:type="spellEnd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районы. 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2734E3">
        <w:rPr>
          <w:rFonts w:ascii="Times New Roman" w:eastAsia="Times New Roman" w:hAnsi="Times New Roman"/>
          <w:i/>
          <w:sz w:val="28"/>
          <w:szCs w:val="28"/>
        </w:rPr>
        <w:t xml:space="preserve">Информационное сообщение </w:t>
      </w:r>
      <w:proofErr w:type="gramStart"/>
      <w:r w:rsidRPr="002734E3">
        <w:rPr>
          <w:rFonts w:ascii="Times New Roman" w:eastAsia="Times New Roman" w:hAnsi="Times New Roman"/>
          <w:i/>
          <w:sz w:val="28"/>
          <w:szCs w:val="28"/>
        </w:rPr>
        <w:t>для граждан о проведении публичных слушаний по годовому отчету об исполнении бюджета за отчетный год</w:t>
      </w:r>
      <w:proofErr w:type="gramEnd"/>
      <w:r w:rsidRPr="002734E3">
        <w:rPr>
          <w:rFonts w:ascii="Times New Roman" w:eastAsia="Times New Roman" w:hAnsi="Times New Roman"/>
          <w:i/>
          <w:sz w:val="28"/>
          <w:szCs w:val="28"/>
        </w:rPr>
        <w:t xml:space="preserve"> на сайте организатора публичных слушаний было опубликовано одним муниципальным образованием (город Майкоп).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2734E3">
        <w:rPr>
          <w:rFonts w:ascii="Times New Roman" w:eastAsia="Times New Roman" w:hAnsi="Times New Roman"/>
          <w:i/>
          <w:sz w:val="28"/>
          <w:szCs w:val="28"/>
        </w:rPr>
        <w:t>Под информационным сообщением о проведении публичных слушаний в рамках методики проведения мониторинга понимается информационное объявление на сайте организатора публичных слушаний, а не сам нормативный акт о проведении публичных слушаний, наличие которого предусмотрено законодательством. Кроме того, для максимальной оценки данного показателя в информационном сообщении о проведении публичных слушаний должна содержаться ссылка на раздел (страницу) портала (сайта), где опубликован проект решения об исполнении бюджета за отчетный год. Указанная ссылка учитывается только в случае, если по ней действительно опубликован проект  решения  об исполнении бюджета за отчетный год.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 w:rsidRPr="002734E3">
        <w:rPr>
          <w:rFonts w:ascii="Times New Roman" w:eastAsia="Times New Roman" w:hAnsi="Times New Roman"/>
          <w:i/>
          <w:sz w:val="28"/>
          <w:szCs w:val="28"/>
        </w:rPr>
        <w:t>По разделу</w:t>
      </w:r>
      <w:r w:rsidRPr="002734E3">
        <w:rPr>
          <w:rFonts w:ascii="Times New Roman" w:eastAsia="Times New Roman" w:hAnsi="Times New Roman"/>
          <w:b/>
          <w:i/>
          <w:sz w:val="28"/>
          <w:szCs w:val="28"/>
        </w:rPr>
        <w:t xml:space="preserve"> «</w:t>
      </w:r>
      <w:r w:rsidRPr="002734E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Публичные сведения о деятельности </w:t>
      </w:r>
      <w:r w:rsidRPr="002734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муниципальных учреждений муниципального образования»</w:t>
      </w:r>
      <w:r w:rsidRPr="002734E3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  максимальное значение достигнуто всеми муниципальными образованиями.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2734E3">
        <w:rPr>
          <w:rFonts w:ascii="Times New Roman" w:eastAsia="Times New Roman" w:hAnsi="Times New Roman"/>
          <w:i/>
          <w:iCs/>
          <w:sz w:val="28"/>
          <w:szCs w:val="28"/>
        </w:rPr>
        <w:t>Оценка показателей раздела осуществлялась на основе статистических отчетов «Мониторинг размещения сведений на официальном сайте по учреждениям субъектов и муниципальных образований», публикуемых на официальном сайте для размещения информации о государственных (муниципальных) учреждениях (</w:t>
      </w:r>
      <w:hyperlink r:id="rId5" w:history="1">
        <w:r w:rsidRPr="002734E3">
          <w:rPr>
            <w:rStyle w:val="a9"/>
            <w:rFonts w:ascii="Times New Roman" w:eastAsia="Times New Roman" w:hAnsi="Times New Roman"/>
            <w:i/>
            <w:iCs/>
            <w:sz w:val="28"/>
            <w:szCs w:val="28"/>
            <w:lang w:val="en-US"/>
          </w:rPr>
          <w:t>www</w:t>
        </w:r>
        <w:r w:rsidRPr="002734E3">
          <w:rPr>
            <w:rStyle w:val="a9"/>
            <w:rFonts w:ascii="Times New Roman" w:eastAsia="Times New Roman" w:hAnsi="Times New Roman"/>
            <w:i/>
            <w:iCs/>
            <w:sz w:val="28"/>
            <w:szCs w:val="28"/>
          </w:rPr>
          <w:t>.</w:t>
        </w:r>
        <w:r w:rsidRPr="002734E3">
          <w:rPr>
            <w:rStyle w:val="a9"/>
            <w:rFonts w:ascii="Times New Roman" w:eastAsia="Times New Roman" w:hAnsi="Times New Roman"/>
            <w:i/>
            <w:iCs/>
            <w:sz w:val="28"/>
            <w:szCs w:val="28"/>
            <w:lang w:val="en-US"/>
          </w:rPr>
          <w:t>bus</w:t>
        </w:r>
        <w:r w:rsidRPr="002734E3">
          <w:rPr>
            <w:rStyle w:val="a9"/>
            <w:rFonts w:ascii="Times New Roman" w:eastAsia="Times New Roman" w:hAnsi="Times New Roman"/>
            <w:i/>
            <w:iCs/>
            <w:sz w:val="28"/>
            <w:szCs w:val="28"/>
          </w:rPr>
          <w:t>.</w:t>
        </w:r>
        <w:proofErr w:type="spellStart"/>
        <w:r w:rsidRPr="002734E3">
          <w:rPr>
            <w:rStyle w:val="a9"/>
            <w:rFonts w:ascii="Times New Roman" w:eastAsia="Times New Roman" w:hAnsi="Times New Roman"/>
            <w:i/>
            <w:iCs/>
            <w:sz w:val="28"/>
            <w:szCs w:val="28"/>
            <w:lang w:val="en-US"/>
          </w:rPr>
          <w:t>gov</w:t>
        </w:r>
        <w:proofErr w:type="spellEnd"/>
        <w:r w:rsidRPr="002734E3">
          <w:rPr>
            <w:rStyle w:val="a9"/>
            <w:rFonts w:ascii="Times New Roman" w:eastAsia="Times New Roman" w:hAnsi="Times New Roman"/>
            <w:i/>
            <w:iCs/>
            <w:sz w:val="28"/>
            <w:szCs w:val="28"/>
          </w:rPr>
          <w:t>.</w:t>
        </w:r>
        <w:proofErr w:type="spellStart"/>
        <w:r w:rsidRPr="002734E3">
          <w:rPr>
            <w:rStyle w:val="a9"/>
            <w:rFonts w:ascii="Times New Roman" w:eastAsia="Times New Roman" w:hAnsi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Pr="002734E3">
        <w:rPr>
          <w:rFonts w:ascii="Times New Roman" w:eastAsia="Times New Roman" w:hAnsi="Times New Roman"/>
          <w:i/>
          <w:iCs/>
          <w:sz w:val="28"/>
          <w:szCs w:val="28"/>
        </w:rPr>
        <w:t xml:space="preserve">). Правила предоставления и размещения информации о государственных (муниципальных) учреждениях </w:t>
      </w:r>
      <w:r w:rsidRPr="002734E3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на указанном сайте установлены приказом Минфина России от 21 июля 2011 г. № 86н «</w:t>
      </w:r>
      <w:r w:rsidRPr="002734E3">
        <w:rPr>
          <w:rFonts w:ascii="Times New Roman" w:hAnsi="Times New Roman"/>
          <w:i/>
          <w:iCs/>
          <w:sz w:val="28"/>
          <w:szCs w:val="28"/>
        </w:rPr>
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</w:r>
    </w:p>
    <w:p w:rsidR="002734E3" w:rsidRPr="002734E3" w:rsidRDefault="002734E3" w:rsidP="002734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2734E3">
        <w:rPr>
          <w:rFonts w:ascii="Times New Roman" w:eastAsia="Times New Roman" w:hAnsi="Times New Roman"/>
          <w:bCs/>
          <w:i/>
          <w:sz w:val="28"/>
          <w:szCs w:val="28"/>
        </w:rPr>
        <w:t xml:space="preserve">Оценка показателей раздела производилась в отношении документов, характеризующих </w:t>
      </w:r>
      <w:r w:rsidRPr="002734E3">
        <w:rPr>
          <w:rFonts w:ascii="Times New Roman" w:hAnsi="Times New Roman"/>
          <w:i/>
          <w:sz w:val="28"/>
          <w:szCs w:val="28"/>
        </w:rPr>
        <w:t xml:space="preserve">публичные сведения о плановых показателях деятельности  муниципальных учреждений муниципального образования на 2017 год, а также </w:t>
      </w:r>
      <w:r w:rsidRPr="002734E3">
        <w:rPr>
          <w:rFonts w:ascii="Times New Roman" w:eastAsia="Times New Roman" w:hAnsi="Times New Roman"/>
          <w:bCs/>
          <w:i/>
          <w:sz w:val="28"/>
          <w:szCs w:val="28"/>
        </w:rPr>
        <w:t xml:space="preserve"> результаты деятельности муниципальных  учреждений муниципального образования  </w:t>
      </w:r>
      <w:r w:rsidRPr="002734E3">
        <w:rPr>
          <w:rFonts w:ascii="Times New Roman" w:eastAsia="Times New Roman" w:hAnsi="Times New Roman"/>
          <w:i/>
          <w:sz w:val="28"/>
          <w:szCs w:val="28"/>
        </w:rPr>
        <w:t xml:space="preserve">за 2016 </w:t>
      </w:r>
      <w:r w:rsidRPr="002734E3">
        <w:rPr>
          <w:rFonts w:ascii="Times New Roman" w:eastAsia="Times New Roman" w:hAnsi="Times New Roman"/>
          <w:bCs/>
          <w:i/>
          <w:sz w:val="28"/>
          <w:szCs w:val="28"/>
        </w:rPr>
        <w:t xml:space="preserve">год. </w:t>
      </w:r>
    </w:p>
    <w:p w:rsidR="002734E3" w:rsidRPr="002734E3" w:rsidRDefault="002734E3" w:rsidP="002734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2734E3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По разделу «</w:t>
      </w:r>
      <w:r w:rsidRPr="002734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Внесение изменений в решение о бюджете</w:t>
      </w:r>
      <w:r w:rsidRPr="002734E3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 проводился мониторинг открытости бюджетных данных, связанных с внесением изменений в решение о бюджете муниципального образования в 2017 году. В целях оценки показателей раздела оценивалась публикация проектов решений о внесении изменений в решение о бюджете и материалов к ним, принятых на момент проведения мониторинга.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Наибольший процент от максимального количества баллов по данному разделу достигли четыре муниципальных образования: город Майкоп, </w:t>
      </w:r>
      <w:proofErr w:type="spellStart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>Гиагинский</w:t>
      </w:r>
      <w:proofErr w:type="spellEnd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, Майкопский и </w:t>
      </w:r>
      <w:proofErr w:type="spellStart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>Теучежский</w:t>
      </w:r>
      <w:proofErr w:type="spellEnd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районы. При этом максимальное значение по данному разделу достигнуто только одним муниципальным образованием «Город Майкоп».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</w:rPr>
      </w:pPr>
      <w:r w:rsidRPr="002734E3">
        <w:rPr>
          <w:rFonts w:ascii="Times New Roman" w:hAnsi="Times New Roman"/>
          <w:bCs/>
          <w:i/>
          <w:sz w:val="28"/>
          <w:szCs w:val="28"/>
        </w:rPr>
        <w:t>По разделу</w:t>
      </w:r>
      <w:r w:rsidRPr="002734E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2734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«Промежуточная отчетность об исполнении бюджета</w:t>
      </w:r>
      <w:r w:rsidRPr="002734E3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 </w:t>
      </w:r>
      <w:r w:rsidRPr="002734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 xml:space="preserve">и аналитические данные» </w:t>
      </w:r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в качестве промежуточной отчетности об исполнении бюджета рассматривалась квартальная отчетность. Доступность промежуточной отчетности, а также специально разрабатываемых аналитических данных, позволяющих осуществлять мониторинг и </w:t>
      </w:r>
      <w:proofErr w:type="gramStart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>контроль за</w:t>
      </w:r>
      <w:proofErr w:type="gramEnd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исполнением бюджета в течение финансового года.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В данном разделе оценивалась публикация промежуточной отчетности (за первый квартал, полугодие, девять месяцев) об исполнении бюджета за 2017 год,  а также аналитические данные. В целях оценки показателей раздела учитывалась публикация сведений в открытом доступе на портале (сайте) муниципального образования, предназначенном для публикации информации о бюджетных данных за все отчетные периоды, по которым на момент проведения мониторинга наступил срок публикации, указанный в комментариях к конкретным показателям. </w:t>
      </w:r>
    </w:p>
    <w:p w:rsidR="002734E3" w:rsidRPr="002734E3" w:rsidRDefault="002734E3" w:rsidP="002734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2734E3">
        <w:rPr>
          <w:rFonts w:ascii="Times New Roman" w:eastAsia="Times New Roman" w:hAnsi="Times New Roman"/>
          <w:bCs/>
          <w:i/>
          <w:sz w:val="28"/>
          <w:szCs w:val="28"/>
        </w:rPr>
        <w:t xml:space="preserve">По данному разделу наилучший результат у «Города Майкопа»,  </w:t>
      </w:r>
      <w:proofErr w:type="spellStart"/>
      <w:r w:rsidRPr="002734E3">
        <w:rPr>
          <w:rFonts w:ascii="Times New Roman" w:eastAsia="Times New Roman" w:hAnsi="Times New Roman"/>
          <w:bCs/>
          <w:i/>
          <w:sz w:val="28"/>
          <w:szCs w:val="28"/>
        </w:rPr>
        <w:t>Кошехабльского</w:t>
      </w:r>
      <w:proofErr w:type="spellEnd"/>
      <w:r w:rsidRPr="002734E3">
        <w:rPr>
          <w:rFonts w:ascii="Times New Roman" w:eastAsia="Times New Roman" w:hAnsi="Times New Roman"/>
          <w:bCs/>
          <w:i/>
          <w:sz w:val="28"/>
          <w:szCs w:val="28"/>
        </w:rPr>
        <w:t xml:space="preserve"> и Гиагинского районов.</w:t>
      </w:r>
    </w:p>
    <w:p w:rsidR="002734E3" w:rsidRPr="002734E3" w:rsidRDefault="002734E3" w:rsidP="002734E3">
      <w:pPr>
        <w:spacing w:before="20" w:after="2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734E3">
        <w:rPr>
          <w:rFonts w:ascii="Times New Roman" w:eastAsia="Times New Roman" w:hAnsi="Times New Roman"/>
          <w:bCs/>
          <w:i/>
          <w:sz w:val="28"/>
          <w:szCs w:val="28"/>
        </w:rPr>
        <w:t>Раздел</w:t>
      </w:r>
      <w:r w:rsidRPr="002734E3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«Финансовый контроль».</w:t>
      </w:r>
      <w:r w:rsidRPr="002734E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2734E3" w:rsidRPr="002734E3" w:rsidRDefault="002734E3" w:rsidP="002734E3">
      <w:pPr>
        <w:spacing w:before="20" w:after="2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734E3">
        <w:rPr>
          <w:rFonts w:ascii="Times New Roman" w:hAnsi="Times New Roman"/>
          <w:i/>
          <w:color w:val="000000"/>
          <w:sz w:val="28"/>
          <w:szCs w:val="28"/>
        </w:rPr>
        <w:t xml:space="preserve">Важным элементом бюджетного процесса является финансовый контроль, призванный обеспечить законность, рациональность и эффективность использования бюджетных средств. По данному разделу оценивалась открытость данных о деятельности органов внешнего муниципального финансового контроля муниципального образования. </w:t>
      </w:r>
    </w:p>
    <w:p w:rsidR="002734E3" w:rsidRPr="002734E3" w:rsidRDefault="002734E3" w:rsidP="002734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lastRenderedPageBreak/>
        <w:t>В целях оценки показателей раздела учитывались сведения, размещенные в открытом доступе на официальном сайте контрольно-счетного органа субъекта РФ, сайте муниципального образования.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bCs/>
          <w:i/>
          <w:sz w:val="28"/>
          <w:szCs w:val="28"/>
        </w:rPr>
        <w:t>По разделу «</w:t>
      </w:r>
      <w:r w:rsidRPr="002734E3">
        <w:rPr>
          <w:rFonts w:ascii="Times New Roman" w:hAnsi="Times New Roman"/>
          <w:b/>
          <w:bCs/>
          <w:i/>
          <w:sz w:val="28"/>
          <w:szCs w:val="28"/>
        </w:rPr>
        <w:t>Проект бюджета и материалы к нему»</w:t>
      </w:r>
      <w:r w:rsidRPr="002734E3">
        <w:rPr>
          <w:rFonts w:ascii="Times New Roman" w:hAnsi="Times New Roman"/>
          <w:bCs/>
          <w:i/>
          <w:sz w:val="28"/>
          <w:szCs w:val="28"/>
        </w:rPr>
        <w:t xml:space="preserve"> оценивался проект решения о бюджете на 2018 год и плановый период 2019 и 2020 годов и материалы к нему,</w:t>
      </w:r>
      <w:r w:rsidRPr="002734E3">
        <w:rPr>
          <w:rFonts w:ascii="Times New Roman" w:eastAsia="Times New Roman" w:hAnsi="Times New Roman"/>
          <w:i/>
          <w:sz w:val="28"/>
          <w:szCs w:val="28"/>
        </w:rPr>
        <w:t xml:space="preserve"> а также наличие информационного сообщения  для граждан о проведении публичных слушаний по </w:t>
      </w:r>
      <w:r w:rsidRPr="002734E3">
        <w:rPr>
          <w:rFonts w:ascii="Times New Roman" w:hAnsi="Times New Roman"/>
          <w:bCs/>
          <w:i/>
          <w:sz w:val="28"/>
          <w:szCs w:val="28"/>
        </w:rPr>
        <w:t>проекту соответствующего решения.</w:t>
      </w:r>
    </w:p>
    <w:p w:rsidR="002734E3" w:rsidRPr="002734E3" w:rsidRDefault="002734E3" w:rsidP="002734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Наилучший результат по данному разделу показали следующие муниципальные образования: </w:t>
      </w:r>
      <w:proofErr w:type="spellStart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>Гиагинский</w:t>
      </w:r>
      <w:proofErr w:type="spellEnd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район, Майкопский, </w:t>
      </w:r>
      <w:proofErr w:type="spellStart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>Кошехабльский</w:t>
      </w:r>
      <w:proofErr w:type="spellEnd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районы и город Майкоп. При этом МО «</w:t>
      </w:r>
      <w:proofErr w:type="spellStart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>Гиагинский</w:t>
      </w:r>
      <w:proofErr w:type="spellEnd"/>
      <w:r w:rsidRPr="002734E3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район» обеспечило стопроцентный результат. 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 xml:space="preserve">Немаловажное значение в обеспечении открытости бюджетных данных имеет </w:t>
      </w:r>
      <w:r w:rsidRPr="002734E3">
        <w:rPr>
          <w:rFonts w:ascii="Times New Roman" w:hAnsi="Times New Roman"/>
          <w:b/>
          <w:i/>
          <w:sz w:val="28"/>
          <w:szCs w:val="28"/>
        </w:rPr>
        <w:t xml:space="preserve">«Бюджет для граждан». 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2734E3">
        <w:rPr>
          <w:rFonts w:ascii="Times New Roman" w:hAnsi="Times New Roman"/>
          <w:i/>
          <w:sz w:val="28"/>
          <w:szCs w:val="28"/>
        </w:rPr>
        <w:t>В рамках методики открытости бюджетных данных оценивалось соответствие бюджетов для граждан, разработанных муниципальными образованиями, требованиям Методических рекомендаций, утвержденных приказом Министерства финансов Российской Федерации от 22 сентября 2015 г.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 (далее - Методические рекомендации).</w:t>
      </w:r>
      <w:proofErr w:type="gramEnd"/>
      <w:r w:rsidRPr="002734E3">
        <w:rPr>
          <w:rFonts w:ascii="Times New Roman" w:hAnsi="Times New Roman"/>
          <w:i/>
          <w:sz w:val="28"/>
          <w:szCs w:val="28"/>
        </w:rPr>
        <w:t xml:space="preserve"> И в целях оценки использовались ключевые моменты бюджета.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>В 2017 году оценивались бюджеты для граждан, подготовленные на основе следующих документов: к решению о бюджете на 2017 год и плановый период 2018 и 2019 годов, к годовому отчету за 2016 год и к проекту решения о бюджете на 2018 год и плановый период 2019 и 2020 годов.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 xml:space="preserve">7 из 9 муниципальных районов (городских округов) подготовили бюджеты для граждан ко всем указанным документам. Одно муниципальное образование – </w:t>
      </w:r>
      <w:proofErr w:type="spellStart"/>
      <w:r w:rsidRPr="002734E3">
        <w:rPr>
          <w:rFonts w:ascii="Times New Roman" w:hAnsi="Times New Roman"/>
          <w:i/>
          <w:sz w:val="28"/>
          <w:szCs w:val="28"/>
        </w:rPr>
        <w:t>Гиагинский</w:t>
      </w:r>
      <w:proofErr w:type="spellEnd"/>
      <w:r w:rsidRPr="002734E3">
        <w:rPr>
          <w:rFonts w:ascii="Times New Roman" w:hAnsi="Times New Roman"/>
          <w:i/>
          <w:sz w:val="28"/>
          <w:szCs w:val="28"/>
        </w:rPr>
        <w:t xml:space="preserve"> район набрало максимальное количество баллов по этому направлению.</w:t>
      </w:r>
    </w:p>
    <w:p w:rsidR="002734E3" w:rsidRPr="002734E3" w:rsidRDefault="002734E3" w:rsidP="002734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 xml:space="preserve">Как было сказано ранее, «Бюджет для граждан» имеет </w:t>
      </w:r>
      <w:proofErr w:type="gramStart"/>
      <w:r w:rsidRPr="002734E3">
        <w:rPr>
          <w:rFonts w:ascii="Times New Roman" w:hAnsi="Times New Roman"/>
          <w:i/>
          <w:sz w:val="28"/>
          <w:szCs w:val="28"/>
        </w:rPr>
        <w:t>важное значение</w:t>
      </w:r>
      <w:proofErr w:type="gramEnd"/>
      <w:r w:rsidRPr="002734E3">
        <w:rPr>
          <w:rFonts w:ascii="Times New Roman" w:hAnsi="Times New Roman"/>
          <w:i/>
          <w:sz w:val="28"/>
          <w:szCs w:val="28"/>
        </w:rPr>
        <w:t xml:space="preserve"> в обеспечении открытости бюджетных данных. И поскольку от </w:t>
      </w:r>
      <w:proofErr w:type="gramStart"/>
      <w:r w:rsidRPr="002734E3">
        <w:rPr>
          <w:rFonts w:ascii="Times New Roman" w:hAnsi="Times New Roman"/>
          <w:i/>
          <w:sz w:val="28"/>
          <w:szCs w:val="28"/>
        </w:rPr>
        <w:t>полноты</w:t>
      </w:r>
      <w:proofErr w:type="gramEnd"/>
      <w:r w:rsidRPr="002734E3">
        <w:rPr>
          <w:rFonts w:ascii="Times New Roman" w:hAnsi="Times New Roman"/>
          <w:i/>
          <w:sz w:val="28"/>
          <w:szCs w:val="28"/>
        </w:rPr>
        <w:t xml:space="preserve"> представленной в нем информации во многом зависит реализация принципа прозрачности (открытости) бюджетной системы Российской Федерации, в Порядок проведения </w:t>
      </w:r>
      <w:r w:rsidRPr="002734E3">
        <w:rPr>
          <w:rFonts w:ascii="Times New Roman" w:hAnsi="Times New Roman"/>
          <w:bCs/>
          <w:i/>
          <w:sz w:val="28"/>
          <w:szCs w:val="28"/>
        </w:rPr>
        <w:t>мониторинга и оценки качества управления муниципальными финансами и соблюдения муниципальными образованиями требований бюджетного законодательства», утвержденный постановлением Кабинетом Министров Республики Адыгея от</w:t>
      </w:r>
      <w:r w:rsidRPr="002734E3">
        <w:rPr>
          <w:rFonts w:ascii="Times New Roman" w:hAnsi="Times New Roman"/>
          <w:i/>
          <w:sz w:val="28"/>
          <w:szCs w:val="28"/>
        </w:rPr>
        <w:t xml:space="preserve"> 20 января 2010 года № 5, внесены изменения. В соответствии с изменениями оценивается не только публикация «Бюджета для граждан», но и соответствие  качества предоставления указанной информации Методическим рекомендациям.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b/>
          <w:i/>
          <w:sz w:val="28"/>
          <w:szCs w:val="28"/>
        </w:rPr>
        <w:lastRenderedPageBreak/>
        <w:t>Рассмотрим итоги мониторинга</w:t>
      </w:r>
      <w:r w:rsidRPr="002734E3">
        <w:rPr>
          <w:rFonts w:ascii="Times New Roman" w:hAnsi="Times New Roman"/>
          <w:b/>
          <w:i/>
          <w:sz w:val="28"/>
          <w:szCs w:val="24"/>
        </w:rPr>
        <w:t xml:space="preserve"> открытости бюджетных данных в муниципальных районах (городских округах) в 2017 году</w:t>
      </w:r>
      <w:r w:rsidRPr="002734E3">
        <w:rPr>
          <w:rFonts w:ascii="Times New Roman" w:hAnsi="Times New Roman"/>
          <w:i/>
          <w:sz w:val="28"/>
          <w:szCs w:val="28"/>
        </w:rPr>
        <w:t>.</w:t>
      </w:r>
    </w:p>
    <w:p w:rsidR="002734E3" w:rsidRPr="002734E3" w:rsidRDefault="002734E3" w:rsidP="002734E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734E3">
        <w:rPr>
          <w:rFonts w:ascii="Times New Roman" w:hAnsi="Times New Roman"/>
          <w:bCs/>
          <w:i/>
          <w:sz w:val="28"/>
          <w:szCs w:val="28"/>
        </w:rPr>
        <w:t xml:space="preserve">По результатам проведенного мониторинга за 2017 год наилучший результат показали два муниципальных  образования: </w:t>
      </w:r>
      <w:proofErr w:type="spellStart"/>
      <w:r w:rsidRPr="002734E3">
        <w:rPr>
          <w:rFonts w:ascii="Times New Roman" w:hAnsi="Times New Roman"/>
          <w:bCs/>
          <w:i/>
          <w:sz w:val="28"/>
          <w:szCs w:val="28"/>
        </w:rPr>
        <w:t>Гиагинский</w:t>
      </w:r>
      <w:proofErr w:type="spellEnd"/>
      <w:r w:rsidRPr="002734E3">
        <w:rPr>
          <w:rFonts w:ascii="Times New Roman" w:hAnsi="Times New Roman"/>
          <w:bCs/>
          <w:i/>
          <w:sz w:val="28"/>
          <w:szCs w:val="28"/>
        </w:rPr>
        <w:t xml:space="preserve"> и  </w:t>
      </w:r>
      <w:proofErr w:type="spellStart"/>
      <w:r w:rsidRPr="002734E3">
        <w:rPr>
          <w:rFonts w:ascii="Times New Roman" w:hAnsi="Times New Roman"/>
          <w:bCs/>
          <w:i/>
          <w:sz w:val="28"/>
          <w:szCs w:val="28"/>
        </w:rPr>
        <w:t>Кошехабльский</w:t>
      </w:r>
      <w:proofErr w:type="spellEnd"/>
      <w:r w:rsidRPr="002734E3">
        <w:rPr>
          <w:rFonts w:ascii="Times New Roman" w:hAnsi="Times New Roman"/>
          <w:bCs/>
          <w:i/>
          <w:sz w:val="28"/>
          <w:szCs w:val="28"/>
        </w:rPr>
        <w:t xml:space="preserve"> районы. Эт</w:t>
      </w:r>
      <w:bookmarkStart w:id="0" w:name="_GoBack"/>
      <w:bookmarkEnd w:id="0"/>
      <w:r w:rsidRPr="002734E3">
        <w:rPr>
          <w:rFonts w:ascii="Times New Roman" w:hAnsi="Times New Roman"/>
          <w:bCs/>
          <w:i/>
          <w:sz w:val="28"/>
          <w:szCs w:val="28"/>
        </w:rPr>
        <w:t>и муниципальные образования отнесены к первой группе. Это группа с очень высоким уровнем открытости бюджетных данных;</w:t>
      </w:r>
    </w:p>
    <w:p w:rsidR="002734E3" w:rsidRPr="002734E3" w:rsidRDefault="002734E3" w:rsidP="002734E3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2734E3">
        <w:rPr>
          <w:i/>
          <w:sz w:val="28"/>
          <w:szCs w:val="28"/>
        </w:rPr>
        <w:t xml:space="preserve">- ко второй  группе (муниципальные образования с высоким уровнем открытости бюджетных данных) отнесены: город </w:t>
      </w:r>
      <w:proofErr w:type="spellStart"/>
      <w:r w:rsidRPr="002734E3">
        <w:rPr>
          <w:i/>
          <w:sz w:val="28"/>
          <w:szCs w:val="28"/>
        </w:rPr>
        <w:t>Адыгейск</w:t>
      </w:r>
      <w:proofErr w:type="spellEnd"/>
      <w:r w:rsidRPr="002734E3">
        <w:rPr>
          <w:i/>
          <w:sz w:val="28"/>
          <w:szCs w:val="28"/>
        </w:rPr>
        <w:t>, город Майкоп,  Майкопский район;</w:t>
      </w:r>
    </w:p>
    <w:p w:rsidR="002734E3" w:rsidRPr="002734E3" w:rsidRDefault="002734E3" w:rsidP="002734E3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2734E3">
        <w:rPr>
          <w:i/>
          <w:sz w:val="28"/>
          <w:szCs w:val="28"/>
        </w:rPr>
        <w:t xml:space="preserve">- к третьей группе (муниципальные образования со средним уровнем открытости бюджетных данных) отнесены: </w:t>
      </w:r>
      <w:proofErr w:type="spellStart"/>
      <w:r w:rsidRPr="002734E3">
        <w:rPr>
          <w:i/>
          <w:sz w:val="28"/>
          <w:szCs w:val="28"/>
        </w:rPr>
        <w:t>Тахтамукайский</w:t>
      </w:r>
      <w:proofErr w:type="spellEnd"/>
      <w:r w:rsidRPr="002734E3">
        <w:rPr>
          <w:i/>
          <w:sz w:val="28"/>
          <w:szCs w:val="28"/>
        </w:rPr>
        <w:t xml:space="preserve">, </w:t>
      </w:r>
      <w:proofErr w:type="gramStart"/>
      <w:r w:rsidRPr="002734E3">
        <w:rPr>
          <w:i/>
          <w:sz w:val="28"/>
          <w:szCs w:val="28"/>
        </w:rPr>
        <w:t>Красногвардейский</w:t>
      </w:r>
      <w:proofErr w:type="gramEnd"/>
      <w:r w:rsidRPr="002734E3">
        <w:rPr>
          <w:i/>
          <w:sz w:val="28"/>
          <w:szCs w:val="28"/>
        </w:rPr>
        <w:t xml:space="preserve"> и </w:t>
      </w:r>
      <w:proofErr w:type="spellStart"/>
      <w:r w:rsidRPr="002734E3">
        <w:rPr>
          <w:i/>
          <w:sz w:val="28"/>
          <w:szCs w:val="28"/>
        </w:rPr>
        <w:t>Теучежский</w:t>
      </w:r>
      <w:proofErr w:type="spellEnd"/>
      <w:r w:rsidRPr="002734E3">
        <w:rPr>
          <w:i/>
          <w:sz w:val="28"/>
          <w:szCs w:val="28"/>
        </w:rPr>
        <w:t xml:space="preserve"> районы.</w:t>
      </w:r>
    </w:p>
    <w:p w:rsidR="002734E3" w:rsidRPr="002734E3" w:rsidRDefault="002734E3" w:rsidP="002734E3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2734E3">
        <w:rPr>
          <w:i/>
          <w:sz w:val="28"/>
          <w:szCs w:val="28"/>
        </w:rPr>
        <w:t xml:space="preserve">- </w:t>
      </w:r>
      <w:proofErr w:type="gramStart"/>
      <w:r w:rsidRPr="002734E3">
        <w:rPr>
          <w:i/>
          <w:sz w:val="28"/>
          <w:szCs w:val="28"/>
        </w:rPr>
        <w:t>к</w:t>
      </w:r>
      <w:proofErr w:type="gramEnd"/>
      <w:r w:rsidRPr="002734E3">
        <w:rPr>
          <w:i/>
          <w:sz w:val="28"/>
          <w:szCs w:val="28"/>
        </w:rPr>
        <w:t xml:space="preserve"> четвертой группе (с низким уровнем открытости бюджетных данных) отнесено одно муниципальное образование «Шовгеновский район».</w:t>
      </w:r>
    </w:p>
    <w:p w:rsidR="002734E3" w:rsidRPr="002734E3" w:rsidRDefault="002734E3" w:rsidP="002734E3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2734E3">
        <w:rPr>
          <w:i/>
          <w:sz w:val="28"/>
          <w:szCs w:val="28"/>
        </w:rPr>
        <w:t>Муниципальных образований, отнесенных к пятой группе (с очень низким уровнем открытости бюджетных данных) нет.</w:t>
      </w:r>
    </w:p>
    <w:p w:rsidR="002734E3" w:rsidRPr="002734E3" w:rsidRDefault="002734E3" w:rsidP="002734E3">
      <w:pPr>
        <w:pStyle w:val="a3"/>
        <w:tabs>
          <w:tab w:val="left" w:pos="993"/>
        </w:tabs>
        <w:ind w:left="0" w:firstLine="567"/>
        <w:jc w:val="both"/>
        <w:rPr>
          <w:i/>
          <w:sz w:val="28"/>
          <w:szCs w:val="28"/>
        </w:rPr>
      </w:pPr>
      <w:r w:rsidRPr="002734E3">
        <w:rPr>
          <w:b/>
          <w:i/>
          <w:sz w:val="28"/>
          <w:szCs w:val="28"/>
        </w:rPr>
        <w:t>Основная проблема</w:t>
      </w:r>
      <w:r w:rsidRPr="002734E3">
        <w:rPr>
          <w:i/>
          <w:sz w:val="28"/>
          <w:szCs w:val="28"/>
        </w:rPr>
        <w:t>, которая возникла при проведении Мониторинга - организация бюджетных данных на сайтах.</w:t>
      </w:r>
    </w:p>
    <w:p w:rsidR="002734E3" w:rsidRPr="002734E3" w:rsidRDefault="002734E3" w:rsidP="002734E3">
      <w:pPr>
        <w:pStyle w:val="aa"/>
        <w:tabs>
          <w:tab w:val="left" w:pos="709"/>
          <w:tab w:val="left" w:pos="1134"/>
        </w:tabs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>Под организацией бюджетных данных на сайте понимается совокупность процессов, обеспечивающих их представление в систематизированном (упорядоченном) виде.</w:t>
      </w:r>
    </w:p>
    <w:p w:rsidR="002734E3" w:rsidRPr="002734E3" w:rsidRDefault="002734E3" w:rsidP="002734E3">
      <w:pPr>
        <w:pStyle w:val="aa"/>
        <w:tabs>
          <w:tab w:val="left" w:pos="709"/>
          <w:tab w:val="left" w:pos="1134"/>
        </w:tabs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 xml:space="preserve">Бюджетные данные считаются общедоступными в том случае, если их можно гарантированно найти, затратив на это небольшое количество времени. От того, как они организованы, зависит, будет ли найден документ </w:t>
      </w:r>
      <w:proofErr w:type="gramStart"/>
      <w:r w:rsidRPr="002734E3">
        <w:rPr>
          <w:rFonts w:ascii="Times New Roman" w:hAnsi="Times New Roman"/>
          <w:i/>
          <w:sz w:val="28"/>
          <w:szCs w:val="28"/>
        </w:rPr>
        <w:t>и</w:t>
      </w:r>
      <w:proofErr w:type="gramEnd"/>
      <w:r w:rsidRPr="002734E3">
        <w:rPr>
          <w:rFonts w:ascii="Times New Roman" w:hAnsi="Times New Roman"/>
          <w:i/>
          <w:sz w:val="28"/>
          <w:szCs w:val="28"/>
        </w:rPr>
        <w:t xml:space="preserve"> сколько времени понадобится, чтобы его найти. </w:t>
      </w:r>
    </w:p>
    <w:p w:rsidR="002734E3" w:rsidRPr="002734E3" w:rsidRDefault="002734E3" w:rsidP="002734E3">
      <w:pPr>
        <w:pStyle w:val="aa"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>Основные принципы, следование которым обеспечивает возможность находить нужную информацию:</w:t>
      </w:r>
    </w:p>
    <w:p w:rsidR="002734E3" w:rsidRPr="002734E3" w:rsidRDefault="002734E3" w:rsidP="002734E3">
      <w:pPr>
        <w:pStyle w:val="a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>систематизация информации на сайте;</w:t>
      </w:r>
    </w:p>
    <w:p w:rsidR="002734E3" w:rsidRPr="002734E3" w:rsidRDefault="002734E3" w:rsidP="002734E3">
      <w:pPr>
        <w:pStyle w:val="a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>строгое соответствие наименований содержанию;</w:t>
      </w:r>
    </w:p>
    <w:p w:rsidR="002734E3" w:rsidRPr="002734E3" w:rsidRDefault="002734E3" w:rsidP="002734E3">
      <w:pPr>
        <w:pStyle w:val="a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>однократное размещение данных, использование взаимосвязей при необходимости обеспечить доступ к данным из разных разделов сайта.</w:t>
      </w:r>
    </w:p>
    <w:p w:rsidR="002734E3" w:rsidRPr="002734E3" w:rsidRDefault="002734E3" w:rsidP="002734E3">
      <w:pPr>
        <w:pStyle w:val="aa"/>
        <w:tabs>
          <w:tab w:val="left" w:pos="1134"/>
        </w:tabs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734E3">
        <w:rPr>
          <w:rFonts w:ascii="Times New Roman" w:hAnsi="Times New Roman"/>
          <w:i/>
          <w:sz w:val="28"/>
          <w:szCs w:val="28"/>
        </w:rPr>
        <w:t>Дублирование данных на одну и ту же тему в разных разделах сайта затрудняет поиск.</w:t>
      </w:r>
    </w:p>
    <w:p w:rsidR="002734E3" w:rsidRDefault="002734E3" w:rsidP="002734E3">
      <w:pPr>
        <w:pStyle w:val="aa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696D" w:rsidRPr="00FC1287" w:rsidRDefault="0034696D" w:rsidP="0034696D">
      <w:pPr>
        <w:jc w:val="both"/>
        <w:rPr>
          <w:rFonts w:ascii="Times New Roman" w:hAnsi="Times New Roman" w:cs="Times New Roman"/>
          <w:sz w:val="28"/>
          <w:szCs w:val="28"/>
        </w:rPr>
      </w:pPr>
      <w:r w:rsidRPr="00FC1287">
        <w:rPr>
          <w:rFonts w:ascii="Times New Roman" w:hAnsi="Times New Roman" w:cs="Times New Roman"/>
          <w:sz w:val="28"/>
          <w:szCs w:val="28"/>
        </w:rPr>
        <w:t>ВЫ</w:t>
      </w:r>
      <w:r w:rsidR="002734E3">
        <w:rPr>
          <w:rFonts w:ascii="Times New Roman" w:hAnsi="Times New Roman" w:cs="Times New Roman"/>
          <w:sz w:val="28"/>
          <w:szCs w:val="28"/>
        </w:rPr>
        <w:t>СТУПИЛИ: Долев Д.З.</w:t>
      </w:r>
    </w:p>
    <w:p w:rsidR="0034696D" w:rsidRDefault="0034696D" w:rsidP="003469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628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финансов Республики Адыгея от 2 мая 2007 года №47-А «Об утверждении Положения о Коллегии Министерства финансов Республики Адыгея» и приказом Министерства финансов Республики Адыгея от  6 июня 2007 года №71-А «Об утверждении Регламента коллегии Министерства финансов Республики Адыгея», </w:t>
      </w:r>
    </w:p>
    <w:p w:rsidR="0034696D" w:rsidRDefault="0034696D" w:rsidP="003469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696D" w:rsidRDefault="0034696D" w:rsidP="0034696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628">
        <w:rPr>
          <w:rFonts w:ascii="Times New Roman" w:hAnsi="Times New Roman" w:cs="Times New Roman"/>
          <w:b/>
          <w:sz w:val="28"/>
          <w:szCs w:val="28"/>
        </w:rPr>
        <w:lastRenderedPageBreak/>
        <w:t>КОЛЛЕГИЯ РЕШИЛА:</w:t>
      </w:r>
    </w:p>
    <w:p w:rsidR="00BB3766" w:rsidRPr="00BB3766" w:rsidRDefault="00BB3766" w:rsidP="00BB376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B3766">
        <w:rPr>
          <w:rFonts w:ascii="Times New Roman" w:hAnsi="Times New Roman" w:cs="Times New Roman"/>
          <w:sz w:val="28"/>
          <w:szCs w:val="28"/>
        </w:rPr>
        <w:t xml:space="preserve">1. Принять  к сведению доклады заместителя Министра финансов Республики Адыгея – </w:t>
      </w:r>
      <w:proofErr w:type="spellStart"/>
      <w:r w:rsidRPr="00BB3766">
        <w:rPr>
          <w:rFonts w:ascii="Times New Roman" w:hAnsi="Times New Roman" w:cs="Times New Roman"/>
          <w:sz w:val="28"/>
          <w:szCs w:val="28"/>
        </w:rPr>
        <w:t>Хапаевой</w:t>
      </w:r>
      <w:proofErr w:type="spellEnd"/>
      <w:r w:rsidRPr="00BB3766">
        <w:rPr>
          <w:rFonts w:ascii="Times New Roman" w:hAnsi="Times New Roman" w:cs="Times New Roman"/>
          <w:sz w:val="28"/>
          <w:szCs w:val="28"/>
        </w:rPr>
        <w:t xml:space="preserve"> М.Ч. и начальника межбюджетных отношений, сводного планирования и мониторинга муниципальных финансов – Павловой Н.В.</w:t>
      </w:r>
      <w:r w:rsidRPr="00BB3766">
        <w:rPr>
          <w:rFonts w:ascii="Times New Roman" w:hAnsi="Times New Roman" w:cs="Times New Roman"/>
          <w:sz w:val="28"/>
        </w:rPr>
        <w:t>,</w:t>
      </w:r>
      <w:r w:rsidRPr="00BB3766">
        <w:rPr>
          <w:rFonts w:ascii="Times New Roman" w:hAnsi="Times New Roman" w:cs="Times New Roman"/>
          <w:sz w:val="28"/>
          <w:szCs w:val="28"/>
        </w:rPr>
        <w:t xml:space="preserve"> по вопросу «Об итогах исполнения консолидированного и республиканского бюджетов Республики Адыгея за 2017 год и основных задачах органов финансовой системы Республики Адыгея на 2018 год».</w:t>
      </w:r>
    </w:p>
    <w:p w:rsidR="00BB3766" w:rsidRPr="00BB3766" w:rsidRDefault="00BB3766" w:rsidP="00BB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66">
        <w:rPr>
          <w:rFonts w:ascii="Times New Roman" w:hAnsi="Times New Roman" w:cs="Times New Roman"/>
          <w:sz w:val="28"/>
          <w:szCs w:val="28"/>
        </w:rPr>
        <w:t>2.  Рекомендовать финансовым управлениям (отделам) городских округов и муниципальных районов:</w:t>
      </w:r>
    </w:p>
    <w:p w:rsidR="00BB3766" w:rsidRPr="00BB3766" w:rsidRDefault="00BB3766" w:rsidP="00BB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66">
        <w:rPr>
          <w:rFonts w:ascii="Times New Roman" w:hAnsi="Times New Roman" w:cs="Times New Roman"/>
          <w:sz w:val="28"/>
          <w:szCs w:val="28"/>
        </w:rPr>
        <w:t>2.1. Обеспечить выполнение условий соглашений заключенных на 2018 год.</w:t>
      </w:r>
    </w:p>
    <w:p w:rsidR="00BB3766" w:rsidRPr="00BB3766" w:rsidRDefault="00BB3766" w:rsidP="00BB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66">
        <w:rPr>
          <w:rFonts w:ascii="Times New Roman" w:hAnsi="Times New Roman" w:cs="Times New Roman"/>
          <w:sz w:val="28"/>
          <w:szCs w:val="28"/>
        </w:rPr>
        <w:t>2.2. Вести в ходе исполнения консолидированных бюджетов муниципальных районов (городских округов) Республики Адыгея взвешенную бюджетную и долговую политику на муниципальном уровне, принимая меры по оздоровлению муниципальных финансов.</w:t>
      </w:r>
    </w:p>
    <w:p w:rsidR="00BB3766" w:rsidRPr="00BB3766" w:rsidRDefault="00BB3766" w:rsidP="00BB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66">
        <w:rPr>
          <w:rFonts w:ascii="Times New Roman" w:hAnsi="Times New Roman" w:cs="Times New Roman"/>
          <w:sz w:val="28"/>
          <w:szCs w:val="28"/>
        </w:rPr>
        <w:t>2.3. Обеспечить формирование реалистичных бюджетов по доходам и расходам, основанных на объективных прогнозах социально-экономического развития, не допуская включения  необоснованных расходных обязательств.</w:t>
      </w:r>
    </w:p>
    <w:p w:rsidR="00BB3766" w:rsidRPr="00BB3766" w:rsidRDefault="00BB3766" w:rsidP="00BB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66">
        <w:rPr>
          <w:rFonts w:ascii="Times New Roman" w:hAnsi="Times New Roman" w:cs="Times New Roman"/>
          <w:sz w:val="28"/>
          <w:szCs w:val="28"/>
        </w:rPr>
        <w:t xml:space="preserve">2.4. Обеспечить </w:t>
      </w:r>
      <w:r w:rsidRPr="00BB3766">
        <w:rPr>
          <w:rFonts w:ascii="Times New Roman" w:hAnsi="Times New Roman" w:cs="Times New Roman"/>
          <w:bCs/>
          <w:sz w:val="28"/>
          <w:szCs w:val="28"/>
        </w:rPr>
        <w:t>недопущение образования просроченной кредиторской задолженности.</w:t>
      </w:r>
    </w:p>
    <w:p w:rsidR="00BB3766" w:rsidRPr="00BB3766" w:rsidRDefault="00BB3766" w:rsidP="00BB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66">
        <w:rPr>
          <w:rFonts w:ascii="Times New Roman" w:hAnsi="Times New Roman" w:cs="Times New Roman"/>
          <w:sz w:val="28"/>
          <w:szCs w:val="28"/>
        </w:rPr>
        <w:t xml:space="preserve">2.5. Обеспечить уточнение реестров </w:t>
      </w:r>
      <w:proofErr w:type="gramStart"/>
      <w:r w:rsidRPr="00BB3766">
        <w:rPr>
          <w:rFonts w:ascii="Times New Roman" w:hAnsi="Times New Roman" w:cs="Times New Roman"/>
          <w:sz w:val="28"/>
          <w:szCs w:val="28"/>
        </w:rPr>
        <w:t>льгот</w:t>
      </w:r>
      <w:proofErr w:type="gramEnd"/>
      <w:r w:rsidRPr="00BB3766">
        <w:rPr>
          <w:rFonts w:ascii="Times New Roman" w:hAnsi="Times New Roman" w:cs="Times New Roman"/>
          <w:sz w:val="28"/>
          <w:szCs w:val="28"/>
        </w:rPr>
        <w:t xml:space="preserve"> с учетом отмененных с 1 января 2018 года. На основании проведенной оценки эффективности пересмотреть перечень действующих льгот с целью сокращения путем оптимизации их количества в срок до 1 января 2019 года.</w:t>
      </w:r>
    </w:p>
    <w:p w:rsidR="00BB3766" w:rsidRPr="00BB3766" w:rsidRDefault="00BB3766" w:rsidP="00BB37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66">
        <w:rPr>
          <w:rFonts w:ascii="Times New Roman" w:hAnsi="Times New Roman" w:cs="Times New Roman"/>
          <w:sz w:val="28"/>
          <w:szCs w:val="28"/>
        </w:rPr>
        <w:t>2.6. Принять исчерпывающие меры по погашению имеющейся задолженности по арендной плате на земельные участки, государственная собственность на которые не разграничена.</w:t>
      </w:r>
    </w:p>
    <w:p w:rsidR="00BB3766" w:rsidRPr="00BB3766" w:rsidRDefault="00BB3766" w:rsidP="00BB3766">
      <w:pPr>
        <w:pStyle w:val="2"/>
        <w:ind w:right="0"/>
        <w:rPr>
          <w:szCs w:val="28"/>
        </w:rPr>
      </w:pPr>
      <w:r w:rsidRPr="00BB3766">
        <w:t>3. Оказывать методическую помощь  финансовым управлениям (отделам) городских округов и муниципальных районов в обеспечении исполнения бюджетных назначений.</w:t>
      </w:r>
    </w:p>
    <w:p w:rsidR="00BB3766" w:rsidRPr="00BB3766" w:rsidRDefault="00BB3766" w:rsidP="00BB37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766">
        <w:rPr>
          <w:rFonts w:ascii="Times New Roman" w:hAnsi="Times New Roman" w:cs="Times New Roman"/>
          <w:sz w:val="28"/>
          <w:szCs w:val="28"/>
        </w:rPr>
        <w:t>4. Отделу методологии и мониторинга государственных финансов Республики Адыгея (</w:t>
      </w:r>
      <w:proofErr w:type="spellStart"/>
      <w:r w:rsidRPr="00BB3766">
        <w:rPr>
          <w:rFonts w:ascii="Times New Roman" w:hAnsi="Times New Roman" w:cs="Times New Roman"/>
          <w:sz w:val="28"/>
          <w:szCs w:val="28"/>
        </w:rPr>
        <w:t>Удычак</w:t>
      </w:r>
      <w:proofErr w:type="spellEnd"/>
      <w:r w:rsidRPr="00BB3766">
        <w:rPr>
          <w:rFonts w:ascii="Times New Roman" w:hAnsi="Times New Roman" w:cs="Times New Roman"/>
          <w:sz w:val="28"/>
          <w:szCs w:val="28"/>
        </w:rPr>
        <w:t xml:space="preserve"> А.Ю.)  в течение 2018 года осуществлять мониторинг соблюдения муниципальными образованиями требований бюджетного законодательства  и оценку  качества управления муниципальными финансами.</w:t>
      </w:r>
    </w:p>
    <w:p w:rsidR="00BB3766" w:rsidRPr="00BB3766" w:rsidRDefault="00BB3766" w:rsidP="00BB37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766">
        <w:rPr>
          <w:rFonts w:ascii="Times New Roman" w:hAnsi="Times New Roman" w:cs="Times New Roman"/>
          <w:sz w:val="28"/>
          <w:szCs w:val="28"/>
        </w:rPr>
        <w:t xml:space="preserve">5. Отделу  бюджетной политики государственных органов  и иных ведомств (Филимонова Н.Е.) в срок до 1 июня 2018 года подготовить информацию о расходах на содержание органов местного самоуправления </w:t>
      </w:r>
      <w:r w:rsidRPr="00BB3766">
        <w:rPr>
          <w:rFonts w:ascii="Times New Roman" w:hAnsi="Times New Roman" w:cs="Times New Roman"/>
          <w:sz w:val="28"/>
          <w:szCs w:val="28"/>
        </w:rPr>
        <w:lastRenderedPageBreak/>
        <w:t>Республики Адыгея и штатной численности органов местного самоуправления за 2017 год и направить ее Главе Республики Адыгея.</w:t>
      </w:r>
    </w:p>
    <w:p w:rsidR="0034696D" w:rsidRPr="00BB3766" w:rsidRDefault="0034696D" w:rsidP="00BB376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96D" w:rsidRPr="00BB3766" w:rsidRDefault="0034696D" w:rsidP="00BB376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96D" w:rsidRDefault="0034696D" w:rsidP="005846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696D" w:rsidSect="00CF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F6E8A"/>
    <w:multiLevelType w:val="hybridMultilevel"/>
    <w:tmpl w:val="FC5AD082"/>
    <w:lvl w:ilvl="0" w:tplc="C90A1C48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52BD5D7D"/>
    <w:multiLevelType w:val="hybridMultilevel"/>
    <w:tmpl w:val="B3A8D900"/>
    <w:lvl w:ilvl="0" w:tplc="53D0A7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0977FD"/>
    <w:multiLevelType w:val="hybridMultilevel"/>
    <w:tmpl w:val="F61AED46"/>
    <w:lvl w:ilvl="0" w:tplc="F698BC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573D"/>
    <w:rsid w:val="00104CCB"/>
    <w:rsid w:val="001325E2"/>
    <w:rsid w:val="00165BA8"/>
    <w:rsid w:val="00243326"/>
    <w:rsid w:val="002628C1"/>
    <w:rsid w:val="002734E3"/>
    <w:rsid w:val="002F1A3D"/>
    <w:rsid w:val="003134F7"/>
    <w:rsid w:val="0034696D"/>
    <w:rsid w:val="00373BDF"/>
    <w:rsid w:val="00470B36"/>
    <w:rsid w:val="00584670"/>
    <w:rsid w:val="00591AC0"/>
    <w:rsid w:val="006066DB"/>
    <w:rsid w:val="00674576"/>
    <w:rsid w:val="006D75C5"/>
    <w:rsid w:val="00751821"/>
    <w:rsid w:val="00754B19"/>
    <w:rsid w:val="00767FA2"/>
    <w:rsid w:val="008037A1"/>
    <w:rsid w:val="0096594F"/>
    <w:rsid w:val="00A5631F"/>
    <w:rsid w:val="00B83287"/>
    <w:rsid w:val="00BB3766"/>
    <w:rsid w:val="00C2573D"/>
    <w:rsid w:val="00D74C8B"/>
    <w:rsid w:val="00D83059"/>
    <w:rsid w:val="00DB555C"/>
    <w:rsid w:val="00DE7352"/>
    <w:rsid w:val="00E94628"/>
    <w:rsid w:val="00E961EC"/>
    <w:rsid w:val="00F33443"/>
    <w:rsid w:val="00F6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6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34696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469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4696D"/>
    <w:pPr>
      <w:spacing w:after="0" w:line="240" w:lineRule="auto"/>
      <w:ind w:right="-908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469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3469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469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34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4696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34696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734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2734E3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6935</Words>
  <Characters>39532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18</cp:revision>
  <dcterms:created xsi:type="dcterms:W3CDTF">2015-09-29T12:49:00Z</dcterms:created>
  <dcterms:modified xsi:type="dcterms:W3CDTF">2018-04-02T06:11:00Z</dcterms:modified>
</cp:coreProperties>
</file>