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7E" w:rsidRDefault="006D5A7E" w:rsidP="00CD41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:rsidR="006D5A7E" w:rsidRDefault="006D5A7E" w:rsidP="00CD4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A7E">
        <w:rPr>
          <w:rFonts w:ascii="Times New Roman" w:hAnsi="Times New Roman" w:cs="Times New Roman"/>
          <w:b/>
          <w:sz w:val="28"/>
          <w:szCs w:val="28"/>
        </w:rPr>
        <w:t>по результатам мониторинга реализации Бюджетного прогноза Республики Адыгея на долгосрочный период до 2030 года за 2018 год</w:t>
      </w:r>
    </w:p>
    <w:p w:rsidR="006D5A7E" w:rsidRPr="006D5A7E" w:rsidRDefault="006D5A7E" w:rsidP="00CD4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1B" w:rsidRDefault="006D5A7E" w:rsidP="00CD41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утвержден </w:t>
      </w:r>
      <w:r w:rsidR="00CD411B" w:rsidRPr="00CD4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AA1AE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Адыгея от 15 февраля 2018 года № 28-р «Об утверждении Бюджетного прогноза Республики Адыгея на долгосрочный </w:t>
      </w:r>
      <w:r>
        <w:rPr>
          <w:rFonts w:ascii="Times New Roman" w:hAnsi="Times New Roman" w:cs="Times New Roman"/>
          <w:sz w:val="28"/>
          <w:szCs w:val="28"/>
        </w:rPr>
        <w:t>период до 2030 года»)</w:t>
      </w:r>
      <w:proofErr w:type="gramEnd"/>
    </w:p>
    <w:p w:rsidR="00CD411B" w:rsidRDefault="00CD411B" w:rsidP="00CD411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2671" w:rsidRDefault="00502671" w:rsidP="000D1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</w:t>
      </w:r>
      <w:r w:rsidR="006D5A7E">
        <w:rPr>
          <w:rFonts w:ascii="Times New Roman" w:hAnsi="Times New Roman" w:cs="Times New Roman"/>
          <w:sz w:val="28"/>
          <w:szCs w:val="28"/>
        </w:rPr>
        <w:t xml:space="preserve">бюджета Республики Адыгея </w:t>
      </w:r>
      <w:r>
        <w:rPr>
          <w:rFonts w:ascii="Times New Roman" w:hAnsi="Times New Roman" w:cs="Times New Roman"/>
          <w:sz w:val="28"/>
          <w:szCs w:val="28"/>
        </w:rPr>
        <w:t>2018 года были достигнуты</w:t>
      </w:r>
      <w:r w:rsidR="00D65B58">
        <w:rPr>
          <w:rFonts w:ascii="Times New Roman" w:hAnsi="Times New Roman" w:cs="Times New Roman"/>
          <w:sz w:val="28"/>
          <w:szCs w:val="28"/>
        </w:rPr>
        <w:t xml:space="preserve"> следующие </w:t>
      </w:r>
      <w:r>
        <w:rPr>
          <w:rFonts w:ascii="Times New Roman" w:hAnsi="Times New Roman" w:cs="Times New Roman"/>
          <w:sz w:val="28"/>
          <w:szCs w:val="28"/>
        </w:rPr>
        <w:t xml:space="preserve"> поставленные </w:t>
      </w:r>
      <w:r w:rsidR="00BC22FB">
        <w:rPr>
          <w:rFonts w:ascii="Times New Roman" w:hAnsi="Times New Roman" w:cs="Times New Roman"/>
          <w:sz w:val="28"/>
          <w:szCs w:val="28"/>
        </w:rPr>
        <w:t xml:space="preserve">Бюджетным прогнозом Республики Адыгея на долгосрочный период до 2030 года (далее - Бюджетный прогноз Республики Адыгея) </w:t>
      </w:r>
      <w:r>
        <w:rPr>
          <w:rFonts w:ascii="Times New Roman" w:hAnsi="Times New Roman" w:cs="Times New Roman"/>
          <w:sz w:val="28"/>
          <w:szCs w:val="28"/>
        </w:rPr>
        <w:t>цели и задачи.</w:t>
      </w:r>
    </w:p>
    <w:p w:rsidR="00502671" w:rsidRDefault="00502671" w:rsidP="000D1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Прогноз характеристик республиканского и консолидированного бюджетов Республики Адыгея перевыполнен в связи с реализацией мер по повышению собираемости налоговых и неналоговых доходов и снижению долговой нагрузки на  бюджет республики.</w:t>
      </w:r>
      <w:r w:rsidR="00D65B58">
        <w:rPr>
          <w:rFonts w:ascii="Times New Roman" w:hAnsi="Times New Roman" w:cs="Times New Roman"/>
          <w:sz w:val="28"/>
          <w:szCs w:val="28"/>
        </w:rPr>
        <w:t xml:space="preserve"> По фактическому исполнению не смотря на плановый </w:t>
      </w:r>
      <w:proofErr w:type="gramStart"/>
      <w:r w:rsidR="00D65B58">
        <w:rPr>
          <w:rFonts w:ascii="Times New Roman" w:hAnsi="Times New Roman" w:cs="Times New Roman"/>
          <w:sz w:val="28"/>
          <w:szCs w:val="28"/>
        </w:rPr>
        <w:t>дефицит</w:t>
      </w:r>
      <w:proofErr w:type="gramEnd"/>
      <w:r w:rsidR="00D65B58">
        <w:rPr>
          <w:rFonts w:ascii="Times New Roman" w:hAnsi="Times New Roman" w:cs="Times New Roman"/>
          <w:sz w:val="28"/>
          <w:szCs w:val="28"/>
        </w:rPr>
        <w:t xml:space="preserve"> сложился профицит бюджета. </w:t>
      </w:r>
      <w:proofErr w:type="gramStart"/>
      <w:r w:rsidR="00D65B58">
        <w:rPr>
          <w:rFonts w:ascii="Times New Roman" w:hAnsi="Times New Roman" w:cs="Times New Roman"/>
          <w:sz w:val="28"/>
          <w:szCs w:val="28"/>
        </w:rPr>
        <w:t xml:space="preserve">Причиной </w:t>
      </w:r>
      <w:proofErr w:type="spellStart"/>
      <w:r w:rsidR="00D65B58"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 w:rsidR="00D65B58">
        <w:rPr>
          <w:rFonts w:ascii="Times New Roman" w:hAnsi="Times New Roman" w:cs="Times New Roman"/>
          <w:sz w:val="28"/>
          <w:szCs w:val="28"/>
        </w:rPr>
        <w:t xml:space="preserve"> послужили остатки на счетах республиканского бюджета, образовавшиеся в связи с поступлением в конце отчетного года гранта </w:t>
      </w:r>
      <w:r w:rsidR="00696639">
        <w:rPr>
          <w:rFonts w:ascii="Times New Roman" w:hAnsi="Times New Roman" w:cs="Times New Roman"/>
          <w:sz w:val="28"/>
          <w:szCs w:val="28"/>
        </w:rPr>
        <w:t xml:space="preserve">Республике Адыгея </w:t>
      </w:r>
      <w:r w:rsidR="00B92193" w:rsidRPr="00B92193">
        <w:rPr>
          <w:rFonts w:ascii="Times New Roman" w:hAnsi="Times New Roman" w:cs="Times New Roman"/>
          <w:bCs/>
          <w:color w:val="000000"/>
          <w:sz w:val="28"/>
          <w:szCs w:val="28"/>
        </w:rPr>
        <w:t>в целях содействия достижению наилучших значений показателей по итогам оценки эффективности деятельности органов исполнительной власти субъектов Российской Федерации по достижению высоких темпов наращивания экономического (налогового) потенциала</w:t>
      </w:r>
      <w:r w:rsidR="00B92193">
        <w:rPr>
          <w:rFonts w:ascii="Arial CYR" w:hAnsi="Arial CYR" w:cs="Arial CYR"/>
          <w:b/>
          <w:bCs/>
          <w:color w:val="000000"/>
          <w:sz w:val="18"/>
          <w:szCs w:val="18"/>
        </w:rPr>
        <w:t xml:space="preserve"> </w:t>
      </w:r>
      <w:r w:rsidR="00B92193" w:rsidRPr="00B92193">
        <w:rPr>
          <w:rFonts w:ascii="Times New Roman" w:hAnsi="Times New Roman" w:cs="Times New Roman"/>
          <w:bCs/>
          <w:color w:val="000000"/>
          <w:sz w:val="28"/>
          <w:szCs w:val="28"/>
        </w:rPr>
        <w:t>территорий</w:t>
      </w:r>
      <w:r w:rsidR="00B921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96639">
        <w:rPr>
          <w:rFonts w:ascii="Times New Roman" w:hAnsi="Times New Roman" w:cs="Times New Roman"/>
          <w:sz w:val="28"/>
          <w:szCs w:val="28"/>
        </w:rPr>
        <w:t>в виде дотаций и неполным освоением средств Дорожного фонда Республики Адыгея.</w:t>
      </w:r>
      <w:proofErr w:type="gramEnd"/>
    </w:p>
    <w:p w:rsidR="00502671" w:rsidRDefault="00502671" w:rsidP="000D1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Показатели финансового обеспечения государственных программ Республики Адыгея перевыполнены </w:t>
      </w:r>
      <w:r w:rsidR="00B92193">
        <w:rPr>
          <w:rFonts w:ascii="Times New Roman" w:hAnsi="Times New Roman" w:cs="Times New Roman"/>
          <w:sz w:val="28"/>
          <w:szCs w:val="28"/>
        </w:rPr>
        <w:t>по сравнению с утвержденными на 2018 год показателями Бюджетного прогноза</w:t>
      </w:r>
      <w:r w:rsidR="00EF21DE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B921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дополнительным поступлением к прогнозу </w:t>
      </w:r>
      <w:r w:rsidR="00DF5F4C">
        <w:rPr>
          <w:rFonts w:ascii="Times New Roman" w:hAnsi="Times New Roman" w:cs="Times New Roman"/>
          <w:sz w:val="28"/>
          <w:szCs w:val="28"/>
        </w:rPr>
        <w:t>налоговых и неналоговых доходов и безвозмездных поступлений</w:t>
      </w:r>
      <w:r w:rsidR="00696639">
        <w:rPr>
          <w:rFonts w:ascii="Times New Roman" w:hAnsi="Times New Roman" w:cs="Times New Roman"/>
          <w:sz w:val="28"/>
          <w:szCs w:val="28"/>
        </w:rPr>
        <w:t xml:space="preserve"> из федерального бюджета</w:t>
      </w:r>
      <w:r w:rsidR="00DF5F4C">
        <w:rPr>
          <w:rFonts w:ascii="Times New Roman" w:hAnsi="Times New Roman" w:cs="Times New Roman"/>
          <w:sz w:val="28"/>
          <w:szCs w:val="28"/>
        </w:rPr>
        <w:t xml:space="preserve"> в республиканский бюджет Республики Адыгея.</w:t>
      </w:r>
      <w:proofErr w:type="gramEnd"/>
    </w:p>
    <w:p w:rsidR="00DF5F4C" w:rsidRDefault="00DF5F4C" w:rsidP="000D1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Структура доходов и расходов республиканского бюджета Республики Адыгея </w:t>
      </w:r>
      <w:r w:rsidR="00D65B5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удельны</w:t>
      </w:r>
      <w:r w:rsidR="00D65B5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вес</w:t>
      </w:r>
      <w:r w:rsidR="00D65B58">
        <w:rPr>
          <w:rFonts w:ascii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hAnsi="Times New Roman" w:cs="Times New Roman"/>
          <w:sz w:val="28"/>
          <w:szCs w:val="28"/>
        </w:rPr>
        <w:t>(дол</w:t>
      </w:r>
      <w:r w:rsidR="00D65B58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) функциональной классификации расходов</w:t>
      </w:r>
      <w:r w:rsidR="00D65B58">
        <w:rPr>
          <w:rFonts w:ascii="Times New Roman" w:hAnsi="Times New Roman" w:cs="Times New Roman"/>
          <w:sz w:val="28"/>
          <w:szCs w:val="28"/>
        </w:rPr>
        <w:t xml:space="preserve"> республиканского бюджета Республики Адыгея исполнена за 2018 год на уровне утвержденных показателей Бюджетного прогноза</w:t>
      </w:r>
      <w:r w:rsidR="00EF21DE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="00D65B58">
        <w:rPr>
          <w:rFonts w:ascii="Times New Roman" w:hAnsi="Times New Roman" w:cs="Times New Roman"/>
          <w:sz w:val="28"/>
          <w:szCs w:val="28"/>
        </w:rPr>
        <w:t xml:space="preserve">. Перевыполнение </w:t>
      </w:r>
      <w:r w:rsidR="00EF21DE">
        <w:rPr>
          <w:rFonts w:ascii="Times New Roman" w:hAnsi="Times New Roman" w:cs="Times New Roman"/>
          <w:sz w:val="28"/>
          <w:szCs w:val="28"/>
        </w:rPr>
        <w:t>прогнозируемых</w:t>
      </w:r>
      <w:r w:rsidR="00D65B58">
        <w:rPr>
          <w:rFonts w:ascii="Times New Roman" w:hAnsi="Times New Roman" w:cs="Times New Roman"/>
          <w:sz w:val="28"/>
          <w:szCs w:val="28"/>
        </w:rPr>
        <w:t xml:space="preserve"> сумм расходов</w:t>
      </w:r>
      <w:r w:rsidR="00EF21DE">
        <w:rPr>
          <w:rFonts w:ascii="Times New Roman" w:hAnsi="Times New Roman" w:cs="Times New Roman"/>
          <w:sz w:val="28"/>
          <w:szCs w:val="28"/>
        </w:rPr>
        <w:t xml:space="preserve"> и общей суммы расходной части</w:t>
      </w:r>
      <w:r w:rsidR="00D65B58">
        <w:rPr>
          <w:rFonts w:ascii="Times New Roman" w:hAnsi="Times New Roman" w:cs="Times New Roman"/>
          <w:sz w:val="28"/>
          <w:szCs w:val="28"/>
        </w:rPr>
        <w:t xml:space="preserve"> сложилось адекватно увеличению доходной части</w:t>
      </w:r>
      <w:r w:rsidR="00657AA2">
        <w:rPr>
          <w:rFonts w:ascii="Times New Roman" w:hAnsi="Times New Roman" w:cs="Times New Roman"/>
          <w:sz w:val="28"/>
          <w:szCs w:val="28"/>
        </w:rPr>
        <w:t xml:space="preserve"> и выплатам по источникам финансирования дефицита</w:t>
      </w:r>
      <w:r w:rsidR="00D65B58">
        <w:rPr>
          <w:rFonts w:ascii="Times New Roman" w:hAnsi="Times New Roman" w:cs="Times New Roman"/>
          <w:sz w:val="28"/>
          <w:szCs w:val="28"/>
        </w:rPr>
        <w:t>.</w:t>
      </w:r>
    </w:p>
    <w:p w:rsidR="00AA1AEF" w:rsidRDefault="000D110B" w:rsidP="000D1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показателей Бюджетного прогноза</w:t>
      </w:r>
      <w:r w:rsidR="00BC22FB">
        <w:rPr>
          <w:rFonts w:ascii="Times New Roman" w:hAnsi="Times New Roman" w:cs="Times New Roman"/>
          <w:sz w:val="28"/>
          <w:szCs w:val="28"/>
        </w:rPr>
        <w:t xml:space="preserve"> Республики Адыгея за 2018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2FB">
        <w:rPr>
          <w:rFonts w:ascii="Times New Roman" w:hAnsi="Times New Roman" w:cs="Times New Roman"/>
          <w:sz w:val="28"/>
          <w:szCs w:val="28"/>
        </w:rPr>
        <w:t>в соответствии с</w:t>
      </w:r>
      <w:r w:rsidR="00BC5665">
        <w:rPr>
          <w:rFonts w:ascii="Times New Roman" w:hAnsi="Times New Roman" w:cs="Times New Roman"/>
          <w:sz w:val="28"/>
          <w:szCs w:val="28"/>
        </w:rPr>
        <w:t xml:space="preserve"> утвержденной</w:t>
      </w:r>
      <w:r w:rsidR="00BC22FB">
        <w:rPr>
          <w:rFonts w:ascii="Times New Roman" w:hAnsi="Times New Roman" w:cs="Times New Roman"/>
          <w:sz w:val="28"/>
          <w:szCs w:val="28"/>
        </w:rPr>
        <w:t xml:space="preserve"> структурой</w:t>
      </w:r>
      <w:r w:rsidR="00BC5665" w:rsidRPr="00BC5665">
        <w:rPr>
          <w:rFonts w:ascii="Times New Roman" w:hAnsi="Times New Roman" w:cs="Times New Roman"/>
          <w:sz w:val="28"/>
          <w:szCs w:val="28"/>
        </w:rPr>
        <w:t xml:space="preserve"> </w:t>
      </w:r>
      <w:r w:rsidR="00BC5665">
        <w:rPr>
          <w:rFonts w:ascii="Times New Roman" w:hAnsi="Times New Roman" w:cs="Times New Roman"/>
          <w:sz w:val="28"/>
          <w:szCs w:val="28"/>
        </w:rPr>
        <w:t>Бюджетного прогноза Республики Адыгея,</w:t>
      </w:r>
      <w:r>
        <w:rPr>
          <w:rFonts w:ascii="Times New Roman" w:hAnsi="Times New Roman" w:cs="Times New Roman"/>
          <w:sz w:val="28"/>
          <w:szCs w:val="28"/>
        </w:rPr>
        <w:t xml:space="preserve"> прилагается (приложение</w:t>
      </w:r>
      <w:r w:rsidR="00BC566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1, приложение</w:t>
      </w:r>
      <w:r w:rsidR="00BC5665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2, приложение </w:t>
      </w:r>
      <w:r w:rsidR="00BC566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3, приложение </w:t>
      </w:r>
      <w:r w:rsidR="00BC566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5).</w:t>
      </w:r>
    </w:p>
    <w:p w:rsidR="00CD411B" w:rsidRDefault="00CD411B">
      <w:pPr>
        <w:rPr>
          <w:sz w:val="21"/>
          <w:szCs w:val="21"/>
        </w:rPr>
        <w:sectPr w:rsidR="00CD411B" w:rsidSect="00CD411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D411B" w:rsidRDefault="00CD411B">
      <w:pPr>
        <w:pStyle w:val="ConsPlusNormal"/>
        <w:jc w:val="right"/>
        <w:outlineLvl w:val="0"/>
        <w:rPr>
          <w:sz w:val="21"/>
          <w:szCs w:val="21"/>
        </w:rPr>
      </w:pPr>
    </w:p>
    <w:p w:rsidR="008059B2" w:rsidRPr="00835387" w:rsidRDefault="008059B2">
      <w:pPr>
        <w:pStyle w:val="ConsPlusNormal"/>
        <w:jc w:val="right"/>
        <w:outlineLvl w:val="0"/>
        <w:rPr>
          <w:sz w:val="21"/>
          <w:szCs w:val="21"/>
        </w:rPr>
      </w:pPr>
      <w:r w:rsidRPr="00835387">
        <w:rPr>
          <w:sz w:val="21"/>
          <w:szCs w:val="21"/>
        </w:rPr>
        <w:t>Приложение N 1</w:t>
      </w:r>
    </w:p>
    <w:p w:rsidR="008059B2" w:rsidRPr="00835387" w:rsidRDefault="008059B2">
      <w:pPr>
        <w:pStyle w:val="ConsPlusNormal"/>
        <w:jc w:val="right"/>
        <w:rPr>
          <w:sz w:val="21"/>
          <w:szCs w:val="21"/>
        </w:rPr>
      </w:pPr>
      <w:r w:rsidRPr="00835387">
        <w:rPr>
          <w:sz w:val="21"/>
          <w:szCs w:val="21"/>
        </w:rPr>
        <w:t>к Бюджетному прогнозу</w:t>
      </w:r>
    </w:p>
    <w:p w:rsidR="008059B2" w:rsidRPr="00835387" w:rsidRDefault="008059B2">
      <w:pPr>
        <w:pStyle w:val="ConsPlusNormal"/>
        <w:jc w:val="right"/>
        <w:rPr>
          <w:sz w:val="21"/>
          <w:szCs w:val="21"/>
        </w:rPr>
      </w:pPr>
      <w:r w:rsidRPr="00835387">
        <w:rPr>
          <w:sz w:val="21"/>
          <w:szCs w:val="21"/>
        </w:rPr>
        <w:t>Республики Адыгея</w:t>
      </w:r>
    </w:p>
    <w:p w:rsidR="008059B2" w:rsidRPr="00835387" w:rsidRDefault="008059B2">
      <w:pPr>
        <w:pStyle w:val="ConsPlusNormal"/>
        <w:jc w:val="right"/>
        <w:rPr>
          <w:sz w:val="21"/>
          <w:szCs w:val="21"/>
        </w:rPr>
      </w:pPr>
      <w:r w:rsidRPr="00835387">
        <w:rPr>
          <w:sz w:val="21"/>
          <w:szCs w:val="21"/>
        </w:rPr>
        <w:t>на долгосрочный период до 2030 года</w:t>
      </w:r>
    </w:p>
    <w:p w:rsidR="008059B2" w:rsidRPr="00835387" w:rsidRDefault="008059B2">
      <w:pPr>
        <w:pStyle w:val="ConsPlusTitle"/>
        <w:jc w:val="center"/>
        <w:rPr>
          <w:sz w:val="21"/>
          <w:szCs w:val="21"/>
        </w:rPr>
      </w:pPr>
      <w:r w:rsidRPr="00835387">
        <w:rPr>
          <w:sz w:val="21"/>
          <w:szCs w:val="21"/>
        </w:rPr>
        <w:t>ПРОГНОЗ</w:t>
      </w:r>
    </w:p>
    <w:p w:rsidR="008059B2" w:rsidRPr="00835387" w:rsidRDefault="008059B2">
      <w:pPr>
        <w:pStyle w:val="ConsPlusTitle"/>
        <w:jc w:val="center"/>
        <w:rPr>
          <w:sz w:val="21"/>
          <w:szCs w:val="21"/>
        </w:rPr>
      </w:pPr>
      <w:r w:rsidRPr="00835387">
        <w:rPr>
          <w:sz w:val="21"/>
          <w:szCs w:val="21"/>
        </w:rPr>
        <w:t>ОСНОВНЫХ ХАРАКТЕРИСТИК РЕСПУБЛИКАНСКОГО БЮДЖЕТА</w:t>
      </w:r>
    </w:p>
    <w:p w:rsidR="008059B2" w:rsidRPr="00835387" w:rsidRDefault="008059B2">
      <w:pPr>
        <w:pStyle w:val="ConsPlusTitle"/>
        <w:jc w:val="center"/>
        <w:rPr>
          <w:sz w:val="21"/>
          <w:szCs w:val="21"/>
        </w:rPr>
      </w:pPr>
      <w:r w:rsidRPr="00835387">
        <w:rPr>
          <w:sz w:val="21"/>
          <w:szCs w:val="21"/>
        </w:rPr>
        <w:t>РЕСПУБЛИКИ АДЫГЕЯ ДО 2030 ГОДА</w:t>
      </w:r>
    </w:p>
    <w:p w:rsidR="008059B2" w:rsidRPr="00835387" w:rsidRDefault="008059B2">
      <w:pPr>
        <w:pStyle w:val="ConsPlusNormal"/>
        <w:jc w:val="both"/>
        <w:rPr>
          <w:sz w:val="21"/>
          <w:szCs w:val="21"/>
        </w:rPr>
      </w:pPr>
    </w:p>
    <w:p w:rsidR="008059B2" w:rsidRPr="00835387" w:rsidRDefault="008059B2">
      <w:pPr>
        <w:pStyle w:val="ConsPlusNormal"/>
        <w:jc w:val="right"/>
        <w:rPr>
          <w:sz w:val="21"/>
          <w:szCs w:val="21"/>
        </w:rPr>
      </w:pPr>
      <w:r w:rsidRPr="00835387">
        <w:rPr>
          <w:sz w:val="21"/>
          <w:szCs w:val="21"/>
        </w:rPr>
        <w:t>(в миллионах рублей)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977"/>
        <w:gridCol w:w="1418"/>
        <w:gridCol w:w="1780"/>
      </w:tblGrid>
      <w:tr w:rsidR="00AB6D1A" w:rsidRPr="00835387" w:rsidTr="001B0A42">
        <w:tc>
          <w:tcPr>
            <w:tcW w:w="10977" w:type="dxa"/>
          </w:tcPr>
          <w:p w:rsidR="00AB6D1A" w:rsidRPr="00835387" w:rsidRDefault="00AB6D1A">
            <w:pPr>
              <w:pStyle w:val="ConsPlusNormal"/>
              <w:rPr>
                <w:sz w:val="21"/>
                <w:szCs w:val="21"/>
              </w:rPr>
            </w:pPr>
            <w:r w:rsidRPr="00835387">
              <w:rPr>
                <w:sz w:val="21"/>
                <w:szCs w:val="21"/>
              </w:rPr>
              <w:t>Наименование основных характеристик республиканского бюджета Республики Адыгея</w:t>
            </w:r>
          </w:p>
        </w:tc>
        <w:tc>
          <w:tcPr>
            <w:tcW w:w="1418" w:type="dxa"/>
          </w:tcPr>
          <w:p w:rsidR="00AB6D1A" w:rsidRPr="00835387" w:rsidRDefault="00AB6D1A">
            <w:pPr>
              <w:pStyle w:val="ConsPlusNormal"/>
              <w:jc w:val="center"/>
              <w:rPr>
                <w:sz w:val="21"/>
                <w:szCs w:val="21"/>
              </w:rPr>
            </w:pPr>
            <w:r w:rsidRPr="00835387">
              <w:rPr>
                <w:sz w:val="21"/>
                <w:szCs w:val="21"/>
              </w:rPr>
              <w:t xml:space="preserve"> 2018 год</w:t>
            </w:r>
          </w:p>
        </w:tc>
        <w:tc>
          <w:tcPr>
            <w:tcW w:w="1780" w:type="dxa"/>
          </w:tcPr>
          <w:p w:rsidR="00AB6D1A" w:rsidRPr="00835387" w:rsidRDefault="00AB6D1A" w:rsidP="00AB6D1A">
            <w:pPr>
              <w:pStyle w:val="ConsPlusNormal"/>
              <w:ind w:right="-183"/>
              <w:rPr>
                <w:sz w:val="21"/>
                <w:szCs w:val="21"/>
              </w:rPr>
            </w:pPr>
            <w:r w:rsidRPr="00835387">
              <w:rPr>
                <w:sz w:val="21"/>
                <w:szCs w:val="21"/>
              </w:rPr>
              <w:t>Отчет 2018 год</w:t>
            </w:r>
          </w:p>
        </w:tc>
      </w:tr>
      <w:tr w:rsidR="00AB6D1A" w:rsidRPr="00835387" w:rsidTr="001B0A42">
        <w:tc>
          <w:tcPr>
            <w:tcW w:w="10977" w:type="dxa"/>
          </w:tcPr>
          <w:p w:rsidR="00AB6D1A" w:rsidRPr="00835387" w:rsidRDefault="00AB6D1A">
            <w:pPr>
              <w:pStyle w:val="ConsPlusNormal"/>
              <w:rPr>
                <w:sz w:val="21"/>
                <w:szCs w:val="21"/>
              </w:rPr>
            </w:pPr>
            <w:r w:rsidRPr="00835387">
              <w:rPr>
                <w:sz w:val="21"/>
                <w:szCs w:val="21"/>
              </w:rPr>
              <w:t>Прогнозируемый общий объем доходов республиканского бюджета Республики Адыгея</w:t>
            </w:r>
          </w:p>
        </w:tc>
        <w:tc>
          <w:tcPr>
            <w:tcW w:w="1418" w:type="dxa"/>
          </w:tcPr>
          <w:p w:rsidR="00AB6D1A" w:rsidRPr="00835387" w:rsidRDefault="00AB6D1A" w:rsidP="001B0A42">
            <w:pPr>
              <w:pStyle w:val="ConsPlusNormal"/>
              <w:jc w:val="right"/>
              <w:rPr>
                <w:sz w:val="21"/>
                <w:szCs w:val="21"/>
              </w:rPr>
            </w:pPr>
            <w:r w:rsidRPr="00835387">
              <w:rPr>
                <w:sz w:val="21"/>
                <w:szCs w:val="21"/>
              </w:rPr>
              <w:t>17091,4</w:t>
            </w:r>
          </w:p>
        </w:tc>
        <w:tc>
          <w:tcPr>
            <w:tcW w:w="1780" w:type="dxa"/>
          </w:tcPr>
          <w:p w:rsidR="00AB6D1A" w:rsidRPr="00835387" w:rsidRDefault="00AB6D1A" w:rsidP="001B0A42">
            <w:pPr>
              <w:pStyle w:val="ConsPlusNormal"/>
              <w:jc w:val="right"/>
              <w:rPr>
                <w:sz w:val="21"/>
                <w:szCs w:val="21"/>
              </w:rPr>
            </w:pPr>
            <w:r w:rsidRPr="00835387">
              <w:rPr>
                <w:sz w:val="21"/>
                <w:szCs w:val="21"/>
              </w:rPr>
              <w:t>19985,6</w:t>
            </w:r>
          </w:p>
        </w:tc>
      </w:tr>
      <w:tr w:rsidR="00AB6D1A" w:rsidRPr="00835387" w:rsidTr="001B0A42">
        <w:tc>
          <w:tcPr>
            <w:tcW w:w="10977" w:type="dxa"/>
          </w:tcPr>
          <w:p w:rsidR="00AB6D1A" w:rsidRPr="00835387" w:rsidRDefault="00AB6D1A">
            <w:pPr>
              <w:pStyle w:val="ConsPlusNormal"/>
              <w:rPr>
                <w:sz w:val="21"/>
                <w:szCs w:val="21"/>
              </w:rPr>
            </w:pPr>
            <w:r w:rsidRPr="00835387">
              <w:rPr>
                <w:sz w:val="21"/>
                <w:szCs w:val="21"/>
              </w:rPr>
              <w:t>Общий объем расходов республиканского бюджета Республики Адыгея</w:t>
            </w:r>
          </w:p>
        </w:tc>
        <w:tc>
          <w:tcPr>
            <w:tcW w:w="1418" w:type="dxa"/>
          </w:tcPr>
          <w:p w:rsidR="00AB6D1A" w:rsidRPr="00835387" w:rsidRDefault="00AB6D1A" w:rsidP="001B0A42">
            <w:pPr>
              <w:pStyle w:val="ConsPlusNormal"/>
              <w:jc w:val="right"/>
              <w:rPr>
                <w:sz w:val="21"/>
                <w:szCs w:val="21"/>
              </w:rPr>
            </w:pPr>
            <w:r w:rsidRPr="00835387">
              <w:rPr>
                <w:sz w:val="21"/>
                <w:szCs w:val="21"/>
              </w:rPr>
              <w:t>17894,3</w:t>
            </w:r>
          </w:p>
        </w:tc>
        <w:tc>
          <w:tcPr>
            <w:tcW w:w="1780" w:type="dxa"/>
          </w:tcPr>
          <w:p w:rsidR="00AB6D1A" w:rsidRPr="00835387" w:rsidRDefault="00AB6D1A" w:rsidP="001B0A42">
            <w:pPr>
              <w:pStyle w:val="ConsPlusNormal"/>
              <w:jc w:val="right"/>
              <w:rPr>
                <w:sz w:val="21"/>
                <w:szCs w:val="21"/>
              </w:rPr>
            </w:pPr>
            <w:r w:rsidRPr="00835387">
              <w:rPr>
                <w:sz w:val="21"/>
                <w:szCs w:val="21"/>
              </w:rPr>
              <w:t>19598,6</w:t>
            </w:r>
          </w:p>
        </w:tc>
      </w:tr>
      <w:tr w:rsidR="00AB6D1A" w:rsidRPr="00835387" w:rsidTr="001B0A42">
        <w:tc>
          <w:tcPr>
            <w:tcW w:w="10977" w:type="dxa"/>
          </w:tcPr>
          <w:p w:rsidR="00AB6D1A" w:rsidRPr="00835387" w:rsidRDefault="00AB6D1A" w:rsidP="002170BA">
            <w:pPr>
              <w:pStyle w:val="ConsPlusNormal"/>
              <w:rPr>
                <w:sz w:val="21"/>
                <w:szCs w:val="21"/>
              </w:rPr>
            </w:pPr>
            <w:r w:rsidRPr="00835387">
              <w:rPr>
                <w:sz w:val="21"/>
                <w:szCs w:val="21"/>
              </w:rPr>
              <w:t>Дефицит</w:t>
            </w:r>
            <w:r w:rsidR="002170BA">
              <w:rPr>
                <w:sz w:val="21"/>
                <w:szCs w:val="21"/>
              </w:rPr>
              <w:t xml:space="preserve"> </w:t>
            </w:r>
            <w:r w:rsidRPr="00835387">
              <w:rPr>
                <w:sz w:val="21"/>
                <w:szCs w:val="21"/>
              </w:rPr>
              <w:t>республиканского бюджета Республики Адыгея</w:t>
            </w:r>
          </w:p>
        </w:tc>
        <w:tc>
          <w:tcPr>
            <w:tcW w:w="1418" w:type="dxa"/>
          </w:tcPr>
          <w:p w:rsidR="00AB6D1A" w:rsidRPr="00835387" w:rsidRDefault="00AB6D1A" w:rsidP="001B0A42">
            <w:pPr>
              <w:pStyle w:val="ConsPlusNormal"/>
              <w:jc w:val="right"/>
              <w:rPr>
                <w:sz w:val="21"/>
                <w:szCs w:val="21"/>
              </w:rPr>
            </w:pPr>
            <w:r w:rsidRPr="00835387">
              <w:rPr>
                <w:sz w:val="21"/>
                <w:szCs w:val="21"/>
              </w:rPr>
              <w:t>-802,9</w:t>
            </w:r>
          </w:p>
        </w:tc>
        <w:tc>
          <w:tcPr>
            <w:tcW w:w="1780" w:type="dxa"/>
          </w:tcPr>
          <w:p w:rsidR="00AB6D1A" w:rsidRPr="00835387" w:rsidRDefault="002170BA" w:rsidP="001B0A42">
            <w:pPr>
              <w:pStyle w:val="ConsPlusNormal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</w:tr>
    </w:tbl>
    <w:p w:rsidR="008059B2" w:rsidRDefault="008059B2" w:rsidP="00AB6D1A">
      <w:pPr>
        <w:pStyle w:val="ConsPlusNormal"/>
        <w:jc w:val="both"/>
        <w:rPr>
          <w:sz w:val="21"/>
          <w:szCs w:val="21"/>
        </w:rPr>
      </w:pPr>
    </w:p>
    <w:p w:rsidR="001B0A42" w:rsidRDefault="001B0A42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1B0A42" w:rsidRDefault="001B0A42" w:rsidP="001B0A42">
      <w:pPr>
        <w:pStyle w:val="ConsPlusNormal"/>
        <w:jc w:val="right"/>
        <w:outlineLvl w:val="0"/>
      </w:pPr>
      <w:r>
        <w:lastRenderedPageBreak/>
        <w:t>Приложение N 2</w:t>
      </w:r>
    </w:p>
    <w:p w:rsidR="001B0A42" w:rsidRDefault="001B0A42" w:rsidP="001B0A42">
      <w:pPr>
        <w:pStyle w:val="ConsPlusNormal"/>
        <w:jc w:val="right"/>
      </w:pPr>
      <w:r>
        <w:t>к Бюджетному прогнозу</w:t>
      </w:r>
    </w:p>
    <w:p w:rsidR="001B0A42" w:rsidRDefault="001B0A42" w:rsidP="001B0A42">
      <w:pPr>
        <w:pStyle w:val="ConsPlusNormal"/>
        <w:jc w:val="right"/>
      </w:pPr>
      <w:r>
        <w:t>Республики Адыгея</w:t>
      </w:r>
    </w:p>
    <w:p w:rsidR="001B0A42" w:rsidRDefault="001B0A42" w:rsidP="001B0A42">
      <w:pPr>
        <w:pStyle w:val="ConsPlusNormal"/>
        <w:jc w:val="right"/>
      </w:pPr>
      <w:r>
        <w:t>на долгосрочный период до 2030 года</w:t>
      </w:r>
    </w:p>
    <w:p w:rsidR="001B0A42" w:rsidRDefault="001B0A42" w:rsidP="001B0A42">
      <w:pPr>
        <w:pStyle w:val="ConsPlusTitle"/>
        <w:jc w:val="center"/>
      </w:pPr>
      <w:r>
        <w:t>ПРОГНОЗ</w:t>
      </w:r>
    </w:p>
    <w:p w:rsidR="001B0A42" w:rsidRDefault="001B0A42" w:rsidP="001B0A42">
      <w:pPr>
        <w:pStyle w:val="ConsPlusTitle"/>
        <w:jc w:val="center"/>
      </w:pPr>
      <w:r>
        <w:t>ОСНОВНЫХ ХАРАКТЕРИСТИК КОНСОЛИДИРОВАННОГО БЮДЖЕТА</w:t>
      </w:r>
    </w:p>
    <w:p w:rsidR="001B0A42" w:rsidRDefault="001B0A42" w:rsidP="001B0A42">
      <w:pPr>
        <w:pStyle w:val="ConsPlusTitle"/>
        <w:jc w:val="center"/>
      </w:pPr>
      <w:r>
        <w:t>РЕСПУБЛИКИ АДЫГЕЯ ДО 2030 ГОДА</w:t>
      </w:r>
    </w:p>
    <w:p w:rsidR="001B0A42" w:rsidRDefault="001B0A42" w:rsidP="001B0A42">
      <w:pPr>
        <w:pStyle w:val="ConsPlusNormal"/>
        <w:jc w:val="right"/>
      </w:pPr>
      <w:r>
        <w:t>(в миллионах рублей)</w:t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119"/>
        <w:gridCol w:w="1418"/>
        <w:gridCol w:w="2064"/>
      </w:tblGrid>
      <w:tr w:rsidR="001B0A42" w:rsidTr="00AF05E8">
        <w:tc>
          <w:tcPr>
            <w:tcW w:w="11119" w:type="dxa"/>
          </w:tcPr>
          <w:p w:rsidR="001B0A42" w:rsidRDefault="001B0A42" w:rsidP="00AF05E8">
            <w:pPr>
              <w:pStyle w:val="ConsPlusNormal"/>
            </w:pPr>
            <w:r>
              <w:t>Наименование основных характеристик консолидированного бюджета Республики Адыгея</w:t>
            </w:r>
          </w:p>
        </w:tc>
        <w:tc>
          <w:tcPr>
            <w:tcW w:w="1418" w:type="dxa"/>
          </w:tcPr>
          <w:p w:rsidR="001B0A42" w:rsidRDefault="001B0A42" w:rsidP="00AF05E8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2064" w:type="dxa"/>
          </w:tcPr>
          <w:p w:rsidR="001B0A42" w:rsidRDefault="001B0A42" w:rsidP="00AF05E8">
            <w:pPr>
              <w:pStyle w:val="ConsPlusNormal"/>
              <w:jc w:val="center"/>
            </w:pPr>
            <w:r>
              <w:t>Отчет 2018 год.</w:t>
            </w:r>
          </w:p>
        </w:tc>
      </w:tr>
      <w:tr w:rsidR="001B0A42" w:rsidTr="00AF05E8">
        <w:tc>
          <w:tcPr>
            <w:tcW w:w="11119" w:type="dxa"/>
          </w:tcPr>
          <w:p w:rsidR="001B0A42" w:rsidRDefault="001B0A42" w:rsidP="00AF05E8">
            <w:pPr>
              <w:pStyle w:val="ConsPlusNormal"/>
            </w:pPr>
            <w:r>
              <w:t>Прогнозируемый общий объем доходов консолидированного бюджета Республики Адыгея</w:t>
            </w:r>
          </w:p>
        </w:tc>
        <w:tc>
          <w:tcPr>
            <w:tcW w:w="1418" w:type="dxa"/>
          </w:tcPr>
          <w:p w:rsidR="001B0A42" w:rsidRDefault="001B0A42" w:rsidP="001B0A42">
            <w:pPr>
              <w:pStyle w:val="ConsPlusNormal"/>
              <w:jc w:val="right"/>
            </w:pPr>
            <w:r>
              <w:t>20180,4</w:t>
            </w:r>
          </w:p>
        </w:tc>
        <w:tc>
          <w:tcPr>
            <w:tcW w:w="2064" w:type="dxa"/>
          </w:tcPr>
          <w:p w:rsidR="001B0A42" w:rsidRDefault="001B0A42" w:rsidP="001B0A42">
            <w:pPr>
              <w:pStyle w:val="ConsPlusNormal"/>
              <w:jc w:val="right"/>
            </w:pPr>
            <w:r>
              <w:t>23547</w:t>
            </w:r>
          </w:p>
        </w:tc>
      </w:tr>
      <w:tr w:rsidR="001B0A42" w:rsidTr="00AF05E8">
        <w:tc>
          <w:tcPr>
            <w:tcW w:w="11119" w:type="dxa"/>
          </w:tcPr>
          <w:p w:rsidR="001B0A42" w:rsidRDefault="001B0A42" w:rsidP="00AF05E8">
            <w:pPr>
              <w:pStyle w:val="ConsPlusNormal"/>
            </w:pPr>
            <w:r>
              <w:t>Общий объем расходов консолидированного бюджета Республики Адыгея</w:t>
            </w:r>
          </w:p>
        </w:tc>
        <w:tc>
          <w:tcPr>
            <w:tcW w:w="1418" w:type="dxa"/>
          </w:tcPr>
          <w:p w:rsidR="001B0A42" w:rsidRDefault="001B0A42" w:rsidP="001B0A42">
            <w:pPr>
              <w:pStyle w:val="ConsPlusNormal"/>
              <w:jc w:val="right"/>
            </w:pPr>
            <w:r>
              <w:t>21292,2</w:t>
            </w:r>
          </w:p>
        </w:tc>
        <w:tc>
          <w:tcPr>
            <w:tcW w:w="2064" w:type="dxa"/>
          </w:tcPr>
          <w:p w:rsidR="001B0A42" w:rsidRDefault="001B0A42" w:rsidP="001B0A42">
            <w:pPr>
              <w:pStyle w:val="ConsPlusNormal"/>
              <w:jc w:val="right"/>
            </w:pPr>
            <w:r>
              <w:t>23281</w:t>
            </w:r>
          </w:p>
        </w:tc>
      </w:tr>
      <w:tr w:rsidR="001B0A42" w:rsidTr="00AF05E8">
        <w:tc>
          <w:tcPr>
            <w:tcW w:w="11119" w:type="dxa"/>
          </w:tcPr>
          <w:p w:rsidR="001B0A42" w:rsidRDefault="001B0A42" w:rsidP="00AF05E8">
            <w:pPr>
              <w:pStyle w:val="ConsPlusNormal"/>
            </w:pPr>
            <w:r>
              <w:t>Дефицит консолидированного бюджета Республики Адыгея</w:t>
            </w:r>
          </w:p>
        </w:tc>
        <w:tc>
          <w:tcPr>
            <w:tcW w:w="1418" w:type="dxa"/>
          </w:tcPr>
          <w:p w:rsidR="001B0A42" w:rsidRDefault="001B0A42" w:rsidP="001B0A42">
            <w:pPr>
              <w:pStyle w:val="ConsPlusNormal"/>
              <w:jc w:val="right"/>
            </w:pPr>
            <w:r>
              <w:t>-1111,8</w:t>
            </w:r>
          </w:p>
        </w:tc>
        <w:tc>
          <w:tcPr>
            <w:tcW w:w="2064" w:type="dxa"/>
          </w:tcPr>
          <w:p w:rsidR="001B0A42" w:rsidRDefault="001B0A42" w:rsidP="001B0A42">
            <w:pPr>
              <w:pStyle w:val="ConsPlusNormal"/>
              <w:jc w:val="right"/>
            </w:pPr>
            <w:r>
              <w:t>0,0</w:t>
            </w:r>
          </w:p>
        </w:tc>
      </w:tr>
    </w:tbl>
    <w:p w:rsidR="001B0A42" w:rsidRDefault="001B0A42" w:rsidP="001B0A42">
      <w:pPr>
        <w:pStyle w:val="ConsPlusNormal"/>
        <w:jc w:val="both"/>
      </w:pPr>
    </w:p>
    <w:p w:rsidR="001B0A42" w:rsidRDefault="001B0A42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1B0A42" w:rsidRDefault="001B0A42" w:rsidP="001B0A42">
      <w:pPr>
        <w:pStyle w:val="ConsPlusNormal"/>
        <w:jc w:val="right"/>
        <w:outlineLvl w:val="0"/>
      </w:pPr>
      <w:r>
        <w:lastRenderedPageBreak/>
        <w:t>Приложение N 3</w:t>
      </w:r>
    </w:p>
    <w:p w:rsidR="001B0A42" w:rsidRDefault="001B0A42" w:rsidP="001B0A42">
      <w:pPr>
        <w:pStyle w:val="ConsPlusNormal"/>
        <w:jc w:val="right"/>
      </w:pPr>
      <w:r>
        <w:t>к Бюджетному прогнозу</w:t>
      </w:r>
    </w:p>
    <w:p w:rsidR="001B0A42" w:rsidRDefault="001B0A42" w:rsidP="001B0A42">
      <w:pPr>
        <w:pStyle w:val="ConsPlusNormal"/>
        <w:jc w:val="right"/>
      </w:pPr>
      <w:r>
        <w:t>Республики Адыгея</w:t>
      </w:r>
    </w:p>
    <w:p w:rsidR="001B0A42" w:rsidRDefault="001B0A42" w:rsidP="001B0A42">
      <w:pPr>
        <w:pStyle w:val="ConsPlusNormal"/>
        <w:jc w:val="right"/>
      </w:pPr>
      <w:r>
        <w:t>на долгосрочный период до 2030 года</w:t>
      </w:r>
    </w:p>
    <w:p w:rsidR="001B0A42" w:rsidRDefault="001B0A42" w:rsidP="001B0A42">
      <w:pPr>
        <w:pStyle w:val="ConsPlusTitle"/>
        <w:jc w:val="center"/>
      </w:pPr>
      <w:r>
        <w:t>ПОКАЗАТЕЛИ</w:t>
      </w:r>
    </w:p>
    <w:p w:rsidR="001B0A42" w:rsidRDefault="001B0A42" w:rsidP="001B0A42">
      <w:pPr>
        <w:pStyle w:val="ConsPlusTitle"/>
        <w:jc w:val="center"/>
      </w:pPr>
      <w:r>
        <w:t>ФИНАНСОВОГО ОБЕСПЕЧЕНИЯ ГОСУДАРСТВЕННЫХ ПРОГРАММ</w:t>
      </w:r>
    </w:p>
    <w:p w:rsidR="001B0A42" w:rsidRDefault="001B0A42" w:rsidP="001B0A42">
      <w:pPr>
        <w:pStyle w:val="ConsPlusTitle"/>
        <w:jc w:val="center"/>
      </w:pPr>
      <w:r>
        <w:t>РЕСПУБЛИКИ АДЫГЕЯ НА ПЕРИОД ИХ ДЕЙСТВИЯ</w:t>
      </w:r>
    </w:p>
    <w:p w:rsidR="001B0A42" w:rsidRDefault="001B0A42" w:rsidP="001B0A42">
      <w:pPr>
        <w:pStyle w:val="ConsPlusNormal"/>
        <w:jc w:val="right"/>
      </w:pPr>
      <w:r>
        <w:t>(в миллионах рублей)</w:t>
      </w:r>
    </w:p>
    <w:tbl>
      <w:tblPr>
        <w:tblW w:w="1488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766"/>
        <w:gridCol w:w="1253"/>
        <w:gridCol w:w="1866"/>
      </w:tblGrid>
      <w:tr w:rsidR="001B0A42" w:rsidTr="001B0A42">
        <w:tc>
          <w:tcPr>
            <w:tcW w:w="11766" w:type="dxa"/>
            <w:vMerge w:val="restart"/>
          </w:tcPr>
          <w:p w:rsidR="001B0A42" w:rsidRDefault="001B0A42" w:rsidP="00AF05E8">
            <w:pPr>
              <w:pStyle w:val="ConsPlusNormal"/>
              <w:jc w:val="center"/>
            </w:pPr>
            <w:r>
              <w:t>Наименование государственной программы Республики Адыгея</w:t>
            </w:r>
          </w:p>
        </w:tc>
        <w:tc>
          <w:tcPr>
            <w:tcW w:w="3119" w:type="dxa"/>
            <w:gridSpan w:val="2"/>
          </w:tcPr>
          <w:p w:rsidR="001B0A42" w:rsidRDefault="001B0A42" w:rsidP="00AF05E8">
            <w:pPr>
              <w:pStyle w:val="ConsPlusNormal"/>
              <w:jc w:val="center"/>
            </w:pPr>
            <w:r>
              <w:t>Объемы финансирования за счет средств республиканского бюджета Республики Адыгея</w:t>
            </w:r>
          </w:p>
        </w:tc>
      </w:tr>
      <w:tr w:rsidR="001B0A42" w:rsidTr="001B0A42">
        <w:tc>
          <w:tcPr>
            <w:tcW w:w="11766" w:type="dxa"/>
            <w:vMerge/>
          </w:tcPr>
          <w:p w:rsidR="001B0A42" w:rsidRDefault="001B0A42" w:rsidP="00AF05E8"/>
        </w:tc>
        <w:tc>
          <w:tcPr>
            <w:tcW w:w="1253" w:type="dxa"/>
          </w:tcPr>
          <w:p w:rsidR="001B0A42" w:rsidRDefault="001B0A42" w:rsidP="00AF05E8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866" w:type="dxa"/>
          </w:tcPr>
          <w:p w:rsidR="001B0A42" w:rsidRDefault="001B0A42" w:rsidP="00AF05E8">
            <w:pPr>
              <w:pStyle w:val="ConsPlusNormal"/>
              <w:ind w:left="55" w:hanging="55"/>
              <w:jc w:val="center"/>
            </w:pPr>
            <w:r>
              <w:t>Отчет 2018 год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"Развитие здравоохранения" на 2014 - 2020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3182,3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3576,1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"Развитие образования" на 2014 - 2025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3913,9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4352,4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"Социальная поддержка граждан" на 2014 - 2020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2546,6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2434,5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"Доступная среда" на 2016 - 2020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17,5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15,6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"Обеспечение доступным и комфортным жильем и коммунальными услугами" на 2014 - 2020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1441,2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1377,7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1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"Содействие занятости населения" на 2014 - 2020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193,1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180,8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1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"Охрана окружающей среды, воспроизводство и использование природных ресурсов" на 2014 - 2020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132,5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139,9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1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"Профилактика правонарушений и предупреждение чрезвычайных ситуаций" на 2014 - 2020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177,6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146,4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1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"Развитие культуры" на 2014 - 2020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517,9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667,9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1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"Развитие туризма" на 2014 - 2020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696,2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705,3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lastRenderedPageBreak/>
              <w:t xml:space="preserve">Государственная </w:t>
            </w:r>
            <w:hyperlink r:id="rId1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"Развитие физической культуры и спорта" на 2014 - 2020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450,6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605,1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1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"Развитие экономики" на 2017 - 2020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204,9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171,3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1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"Развитие информатизации" на 2014 - 2020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21,0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19,2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1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"Развитие транспортной системы" на 2014 - 2020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1219,7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1843,4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1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"Развитие сельского хозяйства и регулирование рынков сельскохозяйственной продукции, сырья и продовольствия" на 2013 - 2020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543,5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637,4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2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"Формирование современной городской среды" на 2018 - 2022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221,7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236,7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2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"Управление государственными финансами" на 2014 - 2020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1234,0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1445,5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2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"Укрепление межнациональных отношений и патриотическое воспитание" на 2014 - 2020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89,1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100,5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 xml:space="preserve">Государственная </w:t>
            </w:r>
            <w:hyperlink r:id="rId2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Республики Адыгея "Энергетическая эффективность и развитие энергетики" на 2014 - 2018 годы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2,9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2,7</w:t>
            </w:r>
          </w:p>
        </w:tc>
      </w:tr>
      <w:tr w:rsidR="001B0A42" w:rsidTr="001B0A42">
        <w:tc>
          <w:tcPr>
            <w:tcW w:w="11766" w:type="dxa"/>
          </w:tcPr>
          <w:p w:rsidR="001B0A42" w:rsidRDefault="001B0A42" w:rsidP="00AF05E8">
            <w:pPr>
              <w:pStyle w:val="ConsPlusNormal"/>
              <w:jc w:val="both"/>
            </w:pPr>
            <w:r>
              <w:t>Итого</w:t>
            </w:r>
          </w:p>
        </w:tc>
        <w:tc>
          <w:tcPr>
            <w:tcW w:w="1253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16806,2</w:t>
            </w:r>
          </w:p>
        </w:tc>
        <w:tc>
          <w:tcPr>
            <w:tcW w:w="1866" w:type="dxa"/>
            <w:vAlign w:val="bottom"/>
          </w:tcPr>
          <w:p w:rsidR="001B0A42" w:rsidRDefault="001B0A42" w:rsidP="001B0A42">
            <w:pPr>
              <w:pStyle w:val="ConsPlusNormal"/>
              <w:jc w:val="right"/>
            </w:pPr>
            <w:r>
              <w:t>18658,4</w:t>
            </w:r>
          </w:p>
        </w:tc>
      </w:tr>
    </w:tbl>
    <w:p w:rsidR="001B0A42" w:rsidRDefault="001B0A42" w:rsidP="001B0A42">
      <w:pPr>
        <w:pStyle w:val="ConsPlusNormal"/>
        <w:jc w:val="both"/>
      </w:pPr>
    </w:p>
    <w:p w:rsidR="001B0A42" w:rsidRDefault="001B0A42" w:rsidP="00AB6D1A">
      <w:pPr>
        <w:pStyle w:val="ConsPlusNormal"/>
        <w:jc w:val="both"/>
        <w:rPr>
          <w:sz w:val="21"/>
          <w:szCs w:val="21"/>
        </w:rPr>
      </w:pPr>
    </w:p>
    <w:p w:rsidR="001B0A42" w:rsidRDefault="001B0A42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1B0A42" w:rsidRDefault="001B0A42" w:rsidP="001B0A42">
      <w:pPr>
        <w:pStyle w:val="ConsPlusNormal"/>
        <w:jc w:val="right"/>
        <w:outlineLvl w:val="0"/>
      </w:pPr>
      <w:r>
        <w:lastRenderedPageBreak/>
        <w:t>Приложение N 5</w:t>
      </w:r>
    </w:p>
    <w:p w:rsidR="001B0A42" w:rsidRDefault="001B0A42" w:rsidP="001B0A42">
      <w:pPr>
        <w:pStyle w:val="ConsPlusNormal"/>
        <w:jc w:val="right"/>
      </w:pPr>
      <w:r>
        <w:t>к Бюджетному прогнозу</w:t>
      </w:r>
    </w:p>
    <w:p w:rsidR="001B0A42" w:rsidRDefault="001B0A42" w:rsidP="001B0A42">
      <w:pPr>
        <w:pStyle w:val="ConsPlusNormal"/>
        <w:jc w:val="right"/>
      </w:pPr>
      <w:r>
        <w:t>Республики Адыгея</w:t>
      </w:r>
    </w:p>
    <w:p w:rsidR="001B0A42" w:rsidRDefault="001B0A42" w:rsidP="001B0A42">
      <w:pPr>
        <w:pStyle w:val="ConsPlusNormal"/>
        <w:jc w:val="right"/>
      </w:pPr>
      <w:r>
        <w:t>на долгосрочный период до 2030 года</w:t>
      </w:r>
    </w:p>
    <w:p w:rsidR="001B0A42" w:rsidRDefault="001B0A42" w:rsidP="001B0A42">
      <w:pPr>
        <w:pStyle w:val="ConsPlusTitle"/>
        <w:jc w:val="center"/>
      </w:pPr>
      <w:r>
        <w:t>СТРУКТУРА</w:t>
      </w:r>
    </w:p>
    <w:p w:rsidR="001B0A42" w:rsidRDefault="001B0A42" w:rsidP="001B0A42">
      <w:pPr>
        <w:pStyle w:val="ConsPlusTitle"/>
        <w:jc w:val="center"/>
      </w:pPr>
      <w:r>
        <w:t>ДОХОДОВ И РАСХОДОВ РЕСПУБЛИКАНСКОГО БЮДЖЕТА</w:t>
      </w:r>
    </w:p>
    <w:p w:rsidR="001B0A42" w:rsidRDefault="001B0A42" w:rsidP="001B0A42">
      <w:pPr>
        <w:pStyle w:val="ConsPlusTitle"/>
        <w:jc w:val="center"/>
      </w:pPr>
      <w:r>
        <w:t>РЕСПУБЛИКИ АДЫГЕЯ ДО 2030 ГОДА</w:t>
      </w:r>
    </w:p>
    <w:p w:rsidR="001B0A42" w:rsidRDefault="001B0A42" w:rsidP="001B0A42">
      <w:pPr>
        <w:pStyle w:val="ConsPlusNormal"/>
        <w:jc w:val="right"/>
      </w:pPr>
      <w:r>
        <w:t>(в миллионах рублей)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94"/>
        <w:gridCol w:w="9981"/>
        <w:gridCol w:w="1417"/>
        <w:gridCol w:w="1701"/>
      </w:tblGrid>
      <w:tr w:rsidR="001B0A42" w:rsidRPr="00B50C8A" w:rsidTr="001B0A42">
        <w:tc>
          <w:tcPr>
            <w:tcW w:w="2494" w:type="dxa"/>
          </w:tcPr>
          <w:p w:rsidR="001B0A42" w:rsidRPr="00B50C8A" w:rsidRDefault="001B0A42" w:rsidP="001B0A42">
            <w:pPr>
              <w:pStyle w:val="ConsPlusNormal"/>
              <w:jc w:val="center"/>
              <w:rPr>
                <w:szCs w:val="22"/>
              </w:rPr>
            </w:pPr>
            <w:r w:rsidRPr="00B50C8A">
              <w:rPr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Наименование доходов (расходов)</w:t>
            </w:r>
          </w:p>
        </w:tc>
        <w:tc>
          <w:tcPr>
            <w:tcW w:w="1417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2018 год</w:t>
            </w:r>
          </w:p>
        </w:tc>
        <w:tc>
          <w:tcPr>
            <w:tcW w:w="170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Отчет </w:t>
            </w:r>
            <w:r w:rsidRPr="00B50C8A">
              <w:rPr>
                <w:szCs w:val="22"/>
              </w:rPr>
              <w:t>2018 год</w:t>
            </w:r>
          </w:p>
        </w:tc>
      </w:tr>
      <w:tr w:rsidR="001B0A42" w:rsidRPr="00B50C8A" w:rsidTr="001B0A42">
        <w:tc>
          <w:tcPr>
            <w:tcW w:w="15593" w:type="dxa"/>
            <w:gridSpan w:val="4"/>
            <w:vAlign w:val="bottom"/>
          </w:tcPr>
          <w:p w:rsidR="001B0A42" w:rsidRPr="00B50C8A" w:rsidRDefault="001B0A42" w:rsidP="00AF05E8">
            <w:pPr>
              <w:pStyle w:val="ConsPlusNormal"/>
              <w:jc w:val="center"/>
              <w:outlineLvl w:val="1"/>
              <w:rPr>
                <w:szCs w:val="22"/>
              </w:rPr>
            </w:pPr>
            <w:r w:rsidRPr="00B50C8A">
              <w:rPr>
                <w:szCs w:val="22"/>
              </w:rPr>
              <w:t>Доходы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1 00 00000 00 0000 000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Налоговые и неналоговые доходы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9051,3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>
              <w:rPr>
                <w:szCs w:val="22"/>
              </w:rPr>
              <w:t>9989,0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2 00 00000 00 0000 000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Безвозмездные поступления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8040,1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>
              <w:rPr>
                <w:szCs w:val="22"/>
              </w:rPr>
              <w:t>9996,6</w:t>
            </w:r>
          </w:p>
        </w:tc>
      </w:tr>
      <w:tr w:rsidR="001B0A42" w:rsidRPr="00B50C8A" w:rsidTr="001B0A42">
        <w:tc>
          <w:tcPr>
            <w:tcW w:w="12475" w:type="dxa"/>
            <w:gridSpan w:val="2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Всего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15823,8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>
              <w:rPr>
                <w:szCs w:val="22"/>
              </w:rPr>
              <w:t>19985,6</w:t>
            </w:r>
          </w:p>
        </w:tc>
      </w:tr>
      <w:tr w:rsidR="001B0A42" w:rsidRPr="00B50C8A" w:rsidTr="001B0A42">
        <w:tc>
          <w:tcPr>
            <w:tcW w:w="15593" w:type="dxa"/>
            <w:gridSpan w:val="4"/>
            <w:vAlign w:val="bottom"/>
          </w:tcPr>
          <w:p w:rsidR="001B0A42" w:rsidRPr="00B50C8A" w:rsidRDefault="001B0A42" w:rsidP="00AF05E8">
            <w:pPr>
              <w:pStyle w:val="ConsPlusNormal"/>
              <w:jc w:val="center"/>
              <w:outlineLvl w:val="1"/>
              <w:rPr>
                <w:szCs w:val="22"/>
              </w:rPr>
            </w:pPr>
            <w:r w:rsidRPr="00B50C8A">
              <w:rPr>
                <w:szCs w:val="22"/>
              </w:rPr>
              <w:t>Расходы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0100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Общегосударственные вопросы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983,5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>
              <w:rPr>
                <w:szCs w:val="22"/>
              </w:rPr>
              <w:t>708,4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0200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Национальная оборона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15,6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1</w:t>
            </w:r>
            <w:r>
              <w:rPr>
                <w:szCs w:val="22"/>
              </w:rPr>
              <w:t>6,6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0300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100,3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1</w:t>
            </w:r>
            <w:r>
              <w:rPr>
                <w:szCs w:val="22"/>
              </w:rPr>
              <w:t>35,5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0400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Национальная экономика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2856,9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>
              <w:rPr>
                <w:szCs w:val="22"/>
              </w:rPr>
              <w:t>3564,1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0500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Жилищно-коммунальное хозяйство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1503,6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1</w:t>
            </w:r>
            <w:r>
              <w:rPr>
                <w:szCs w:val="22"/>
              </w:rPr>
              <w:t>490,1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0600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Охрана окружающей среды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35,4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>
              <w:rPr>
                <w:szCs w:val="22"/>
              </w:rPr>
              <w:t>41,2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0700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Образование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3821,0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>
              <w:rPr>
                <w:szCs w:val="22"/>
              </w:rPr>
              <w:t>4251,7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lastRenderedPageBreak/>
              <w:t>0800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Культура, кинематография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460,4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>
              <w:rPr>
                <w:szCs w:val="22"/>
              </w:rPr>
              <w:t>603,3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0900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Здравоохранение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1477,5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1</w:t>
            </w:r>
            <w:r>
              <w:rPr>
                <w:szCs w:val="22"/>
              </w:rPr>
              <w:t>666,6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1000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Социальная политика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4825,7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4</w:t>
            </w:r>
            <w:r>
              <w:rPr>
                <w:szCs w:val="22"/>
              </w:rPr>
              <w:t>920,1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1100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Физическая культура и спорт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521,6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>
              <w:rPr>
                <w:szCs w:val="22"/>
              </w:rPr>
              <w:t>633,5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1200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Средства массовой информации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105,9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1</w:t>
            </w:r>
            <w:r>
              <w:rPr>
                <w:szCs w:val="22"/>
              </w:rPr>
              <w:t>18,2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1300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200,0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>
              <w:rPr>
                <w:szCs w:val="22"/>
              </w:rPr>
              <w:t>110,3</w:t>
            </w:r>
          </w:p>
        </w:tc>
      </w:tr>
      <w:tr w:rsidR="001B0A42" w:rsidRPr="00B50C8A" w:rsidTr="001B0A42">
        <w:tc>
          <w:tcPr>
            <w:tcW w:w="2494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1400</w:t>
            </w:r>
          </w:p>
        </w:tc>
        <w:tc>
          <w:tcPr>
            <w:tcW w:w="9981" w:type="dxa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986,9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>
              <w:rPr>
                <w:szCs w:val="22"/>
              </w:rPr>
              <w:t>1339,0</w:t>
            </w:r>
          </w:p>
        </w:tc>
      </w:tr>
      <w:tr w:rsidR="001B0A42" w:rsidRPr="00B50C8A" w:rsidTr="001B0A42">
        <w:tc>
          <w:tcPr>
            <w:tcW w:w="12475" w:type="dxa"/>
            <w:gridSpan w:val="2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Всего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17894,3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1</w:t>
            </w:r>
            <w:r>
              <w:rPr>
                <w:szCs w:val="22"/>
              </w:rPr>
              <w:t>9598,6</w:t>
            </w:r>
          </w:p>
        </w:tc>
      </w:tr>
      <w:tr w:rsidR="001B0A42" w:rsidRPr="00B50C8A" w:rsidTr="001B0A42">
        <w:tc>
          <w:tcPr>
            <w:tcW w:w="12475" w:type="dxa"/>
            <w:gridSpan w:val="2"/>
          </w:tcPr>
          <w:p w:rsidR="001B0A42" w:rsidRPr="00B50C8A" w:rsidRDefault="001B0A42" w:rsidP="00AF05E8">
            <w:pPr>
              <w:pStyle w:val="ConsPlusNormal"/>
              <w:jc w:val="both"/>
              <w:rPr>
                <w:szCs w:val="22"/>
              </w:rPr>
            </w:pPr>
            <w:r w:rsidRPr="00B50C8A">
              <w:rPr>
                <w:szCs w:val="22"/>
              </w:rPr>
              <w:t>Дефицит республиканского бюджета Республики Адыгея</w:t>
            </w:r>
          </w:p>
        </w:tc>
        <w:tc>
          <w:tcPr>
            <w:tcW w:w="1417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 w:rsidRPr="00B50C8A">
              <w:rPr>
                <w:szCs w:val="22"/>
              </w:rPr>
              <w:t>-802,9</w:t>
            </w:r>
          </w:p>
        </w:tc>
        <w:tc>
          <w:tcPr>
            <w:tcW w:w="1701" w:type="dxa"/>
            <w:vAlign w:val="bottom"/>
          </w:tcPr>
          <w:p w:rsidR="001B0A42" w:rsidRPr="00B50C8A" w:rsidRDefault="001B0A42" w:rsidP="001B0A42">
            <w:pPr>
              <w:pStyle w:val="ConsPlusNormal"/>
              <w:jc w:val="right"/>
              <w:rPr>
                <w:szCs w:val="22"/>
              </w:rPr>
            </w:pPr>
            <w:r>
              <w:rPr>
                <w:szCs w:val="22"/>
              </w:rPr>
              <w:t>0,0</w:t>
            </w:r>
          </w:p>
        </w:tc>
      </w:tr>
    </w:tbl>
    <w:p w:rsidR="001B0A42" w:rsidRPr="00B50C8A" w:rsidRDefault="001B0A42" w:rsidP="001B0A42">
      <w:pPr>
        <w:pStyle w:val="ConsPlusNormal"/>
        <w:jc w:val="both"/>
        <w:rPr>
          <w:szCs w:val="22"/>
        </w:rPr>
      </w:pPr>
    </w:p>
    <w:p w:rsidR="001B0A42" w:rsidRPr="00835387" w:rsidRDefault="001B0A42" w:rsidP="00AB6D1A">
      <w:pPr>
        <w:pStyle w:val="ConsPlusNormal"/>
        <w:jc w:val="both"/>
        <w:rPr>
          <w:sz w:val="21"/>
          <w:szCs w:val="21"/>
        </w:rPr>
      </w:pPr>
    </w:p>
    <w:sectPr w:rsidR="001B0A42" w:rsidRPr="00835387" w:rsidSect="009849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59B2"/>
    <w:rsid w:val="000D110B"/>
    <w:rsid w:val="001B0A42"/>
    <w:rsid w:val="00211671"/>
    <w:rsid w:val="002170BA"/>
    <w:rsid w:val="00340A75"/>
    <w:rsid w:val="00356F6F"/>
    <w:rsid w:val="00401493"/>
    <w:rsid w:val="004962E8"/>
    <w:rsid w:val="00502671"/>
    <w:rsid w:val="005131BE"/>
    <w:rsid w:val="00657AA2"/>
    <w:rsid w:val="00696639"/>
    <w:rsid w:val="006D5A7E"/>
    <w:rsid w:val="008059B2"/>
    <w:rsid w:val="00835387"/>
    <w:rsid w:val="009B6E12"/>
    <w:rsid w:val="00A72ABB"/>
    <w:rsid w:val="00AA1AEF"/>
    <w:rsid w:val="00AB6D1A"/>
    <w:rsid w:val="00AD066E"/>
    <w:rsid w:val="00AF35A5"/>
    <w:rsid w:val="00B92193"/>
    <w:rsid w:val="00BC22FB"/>
    <w:rsid w:val="00BC5665"/>
    <w:rsid w:val="00CD411B"/>
    <w:rsid w:val="00D5108E"/>
    <w:rsid w:val="00D65B58"/>
    <w:rsid w:val="00DF5F4C"/>
    <w:rsid w:val="00EB67D8"/>
    <w:rsid w:val="00EF21DE"/>
    <w:rsid w:val="00F8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59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9F889E6AF32C1DE06000B13C29E5745A23BF7713719066648A0ED60A266F97BBAFC146F33E904C343FAB3047EEA4B966B20B1F669EAC3068090N871I" TargetMode="External"/><Relationship Id="rId13" Type="http://schemas.openxmlformats.org/officeDocument/2006/relationships/hyperlink" Target="consultantplus://offline/ref=4D39F889E6AF32C1DE06000B13C29E5745A23BF7713410056448A0ED60A266F97BBAFC146F33E904C74BFCBB047EEA4B966B20B1F669EAC3068090N871I" TargetMode="External"/><Relationship Id="rId18" Type="http://schemas.openxmlformats.org/officeDocument/2006/relationships/hyperlink" Target="consultantplus://offline/ref=4D39F889E6AF32C1DE06000B13C29E5745A23BF7713513006748A0ED60A266F97BBAFC146F33E904CB42FCB4047EEA4B966B20B1F669EAC3068090N871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D39F889E6AF32C1DE06000B13C29E5745A23BF7713B10006048A0ED60A266F97BBAFC146F33E904C047FEB6047EEA4B966B20B1F669EAC3068090N871I" TargetMode="External"/><Relationship Id="rId7" Type="http://schemas.openxmlformats.org/officeDocument/2006/relationships/hyperlink" Target="consultantplus://offline/ref=4D39F889E6AF32C1DE06000B13C29E5745A23BF7713A140C6448A0ED60A266F97BBAFC146F33E904CB4BFAB0047EEA4B966B20B1F669EAC3068090N871I" TargetMode="External"/><Relationship Id="rId12" Type="http://schemas.openxmlformats.org/officeDocument/2006/relationships/hyperlink" Target="consultantplus://offline/ref=4D39F889E6AF32C1DE06000B13C29E5745A23BF7713518026448A0ED60A266F97BBAFC146F33EE0F9712BFE7022AB811C36F3EB0E868NE7AI" TargetMode="External"/><Relationship Id="rId17" Type="http://schemas.openxmlformats.org/officeDocument/2006/relationships/hyperlink" Target="consultantplus://offline/ref=4D39F889E6AF32C1DE06000B13C29E5745A23BF77135180C6448A0ED60A266F97BBAFC146F33E904C240FCBB047EEA4B966B20B1F669EAC3068090N871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D39F889E6AF32C1DE06000B13C29E5745A23BF7713A18046648A0ED60A266F97BBAFC146F33E904C343FAB2047EEA4B966B20B1F669EAC3068090N871I" TargetMode="External"/><Relationship Id="rId20" Type="http://schemas.openxmlformats.org/officeDocument/2006/relationships/hyperlink" Target="consultantplus://offline/ref=4D39F889E6AF32C1DE06000B13C29E5745A23BF7713718076048A0ED60A266F97BBAFC146F33E904C343FAB3047EEA4B966B20B1F669EAC3068090N871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D39F889E6AF32C1DE06000B13C29E5745A23BF7713A17056448A0ED60A266F97BBAFC146F33E904CA44F2B1047EEA4B966B20B1F669EAC3068090N871I" TargetMode="External"/><Relationship Id="rId11" Type="http://schemas.openxmlformats.org/officeDocument/2006/relationships/hyperlink" Target="consultantplus://offline/ref=4D39F889E6AF32C1DE06000B13C29E5745A23BF7713A18016248A0ED60A266F97BBAFC146F33E905C043F9B6047EEA4B966B20B1F669EAC3068090N871I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D39F889E6AF32C1DE06000B13C29E5745A23BF77137190C6448A0ED60A266F97BBAFC146F33E905C744F3B4047EEA4B966B20B1F669EAC3068090N871I" TargetMode="External"/><Relationship Id="rId15" Type="http://schemas.openxmlformats.org/officeDocument/2006/relationships/hyperlink" Target="consultantplus://offline/ref=4D39F889E6AF32C1DE06000B13C29E5745A23BF7713517036648A0ED60A266F97BBAFC146F33E904C746F9B4047EEA4B966B20B1F669EAC3068090N871I" TargetMode="External"/><Relationship Id="rId23" Type="http://schemas.openxmlformats.org/officeDocument/2006/relationships/hyperlink" Target="consultantplus://offline/ref=4D39F889E6AF32C1DE06000B13C29E5745A23BF7713410076B48A0ED60A266F97BBAFC146F33E904C745FDB0047EEA4B966B20B1F669EAC3068090N871I" TargetMode="External"/><Relationship Id="rId10" Type="http://schemas.openxmlformats.org/officeDocument/2006/relationships/hyperlink" Target="consultantplus://offline/ref=4D39F889E6AF32C1DE06000B13C29E5745A23BF7713518026748A0ED60A266F97BBAFC146F33E904C04AFEB0047EEA4B966B20B1F669EAC3068090N871I" TargetMode="External"/><Relationship Id="rId19" Type="http://schemas.openxmlformats.org/officeDocument/2006/relationships/hyperlink" Target="consultantplus://offline/ref=4D39F889E6AF32C1DE06000B13C29E5745A23BF7713B100D6448A0ED60A266F97BBAFC146F33E907CA4AFEB7047EEA4B966B20B1F669EAC3068090N87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39F889E6AF32C1DE06000B13C29E5745A23BF7713B10006748A0ED60A266F97BBAFC146F33E904CA42FCB2047EEA4B966B20B1F669EAC3068090N871I" TargetMode="External"/><Relationship Id="rId14" Type="http://schemas.openxmlformats.org/officeDocument/2006/relationships/hyperlink" Target="consultantplus://offline/ref=4D39F889E6AF32C1DE06000B13C29E5745A23BF7713A100D6348A0ED60A266F97BBAFC146F33E904C14AFABA047EEA4B966B20B1F669EAC3068090N871I" TargetMode="External"/><Relationship Id="rId22" Type="http://schemas.openxmlformats.org/officeDocument/2006/relationships/hyperlink" Target="consultantplus://offline/ref=4D39F889E6AF32C1DE06000B13C29E5745A23BF7713518006148A0ED60A266F97BBAFC146F33E904C54AF2B4047EEA4B966B20B1F669EAC3068090N87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2D46C-A546-4B8E-99A3-81097A68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pavlovski</dc:creator>
  <cp:lastModifiedBy>npavlova</cp:lastModifiedBy>
  <cp:revision>20</cp:revision>
  <dcterms:created xsi:type="dcterms:W3CDTF">2019-09-03T08:57:00Z</dcterms:created>
  <dcterms:modified xsi:type="dcterms:W3CDTF">2019-09-05T06:51:00Z</dcterms:modified>
</cp:coreProperties>
</file>