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8" w:rsidRDefault="009A4F78" w:rsidP="009A4F7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F78" w:rsidRDefault="009A4F78" w:rsidP="009A4F78">
      <w:pPr>
        <w:jc w:val="center"/>
        <w:rPr>
          <w:b/>
          <w:sz w:val="16"/>
          <w:lang w:val="en-US"/>
        </w:rPr>
      </w:pPr>
    </w:p>
    <w:p w:rsidR="009A4F78" w:rsidRDefault="009A4F78" w:rsidP="009A4F78">
      <w:pPr>
        <w:jc w:val="center"/>
      </w:pPr>
      <w:r>
        <w:t>МИНИСТЕРСТВО ФИНАНСОВ РЕСПУБЛИКИ АДЫГЕЯ</w:t>
      </w:r>
    </w:p>
    <w:p w:rsidR="009A4F78" w:rsidRDefault="009A4F78" w:rsidP="009A4F78">
      <w:pPr>
        <w:jc w:val="center"/>
        <w:rPr>
          <w:sz w:val="16"/>
        </w:rPr>
      </w:pPr>
    </w:p>
    <w:p w:rsidR="009A4F78" w:rsidRDefault="009A4F78" w:rsidP="009A4F78">
      <w:pPr>
        <w:pStyle w:val="3"/>
      </w:pPr>
      <w:r>
        <w:t>П Р И К А З</w:t>
      </w:r>
    </w:p>
    <w:p w:rsidR="009A4F78" w:rsidRDefault="009A4F78" w:rsidP="009A4F78">
      <w:pPr>
        <w:jc w:val="center"/>
        <w:rPr>
          <w:b/>
          <w:sz w:val="28"/>
        </w:rPr>
      </w:pPr>
    </w:p>
    <w:p w:rsidR="009A4F78" w:rsidRPr="00644FB9" w:rsidRDefault="009A4F78" w:rsidP="009A4F7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 w:rsidR="00AA147D" w:rsidRPr="00AA147D">
        <w:rPr>
          <w:sz w:val="28"/>
          <w:szCs w:val="28"/>
          <w:u w:val="single"/>
        </w:rPr>
        <w:t>21.02.2020</w:t>
      </w:r>
      <w:r w:rsidRPr="00AA147D">
        <w:rPr>
          <w:sz w:val="28"/>
          <w:szCs w:val="28"/>
          <w:u w:val="single"/>
        </w:rPr>
        <w:t xml:space="preserve"> </w:t>
      </w:r>
      <w:r w:rsidRPr="00644FB9">
        <w:rPr>
          <w:sz w:val="28"/>
          <w:szCs w:val="28"/>
        </w:rPr>
        <w:t xml:space="preserve">                                                                            </w:t>
      </w:r>
      <w:r w:rsidR="00AA147D"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    № </w:t>
      </w:r>
      <w:r w:rsidR="00AA147D" w:rsidRPr="00AA147D">
        <w:rPr>
          <w:sz w:val="28"/>
          <w:szCs w:val="28"/>
          <w:u w:val="single"/>
        </w:rPr>
        <w:t>23-А</w:t>
      </w:r>
    </w:p>
    <w:p w:rsidR="009A4F78" w:rsidRDefault="009A4F78" w:rsidP="009A4F78">
      <w:pPr>
        <w:rPr>
          <w:sz w:val="22"/>
        </w:rPr>
      </w:pPr>
    </w:p>
    <w:p w:rsidR="009A4F78" w:rsidRDefault="009A4F78" w:rsidP="009A4F78">
      <w:pPr>
        <w:rPr>
          <w:sz w:val="22"/>
        </w:rPr>
      </w:pPr>
    </w:p>
    <w:p w:rsidR="009A4F78" w:rsidRDefault="009A4F78" w:rsidP="009A4F78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9A4F78" w:rsidRDefault="009A4F78" w:rsidP="009A4F78">
      <w:pPr>
        <w:jc w:val="both"/>
        <w:rPr>
          <w:sz w:val="28"/>
        </w:rPr>
      </w:pPr>
    </w:p>
    <w:p w:rsidR="00754C3D" w:rsidRPr="00754C3D" w:rsidRDefault="009A4F78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01CCC">
        <w:rPr>
          <w:rFonts w:ascii="Times New Roman" w:hAnsi="Times New Roman"/>
          <w:b/>
          <w:sz w:val="28"/>
          <w:szCs w:val="28"/>
        </w:rPr>
        <w:t>О</w:t>
      </w:r>
      <w:r w:rsidR="002C4961">
        <w:rPr>
          <w:rFonts w:ascii="Times New Roman" w:hAnsi="Times New Roman"/>
          <w:b/>
          <w:sz w:val="28"/>
          <w:szCs w:val="28"/>
        </w:rPr>
        <w:t>б</w:t>
      </w:r>
      <w:r w:rsidRPr="00C01CCC">
        <w:rPr>
          <w:rFonts w:ascii="Times New Roman" w:hAnsi="Times New Roman"/>
          <w:b/>
          <w:sz w:val="28"/>
          <w:szCs w:val="28"/>
        </w:rPr>
        <w:t xml:space="preserve"> </w:t>
      </w:r>
      <w:r w:rsidR="00875DD2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4961">
        <w:rPr>
          <w:rFonts w:ascii="Times New Roman" w:hAnsi="Times New Roman"/>
          <w:b/>
          <w:sz w:val="28"/>
          <w:szCs w:val="28"/>
        </w:rPr>
        <w:t>Порядка</w:t>
      </w:r>
      <w:r w:rsidR="00754C3D" w:rsidRPr="00754C3D">
        <w:rPr>
          <w:rFonts w:eastAsiaTheme="minorHAnsi"/>
          <w:sz w:val="28"/>
          <w:szCs w:val="28"/>
          <w:lang w:eastAsia="en-US"/>
        </w:rPr>
        <w:t xml:space="preserve"> </w:t>
      </w:r>
      <w:r w:rsidR="00754C3D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направления</w:t>
      </w:r>
    </w:p>
    <w:p w:rsidR="00754C3D" w:rsidRP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остатков средств республиканского</w:t>
      </w:r>
    </w:p>
    <w:p w:rsidR="00257D0E" w:rsidRDefault="00754C3D" w:rsidP="00257D0E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бюджета</w:t>
      </w:r>
      <w:r w:rsidR="005446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Республики Адыгея</w:t>
      </w: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257D0E">
        <w:rPr>
          <w:rFonts w:ascii="Times New Roman" w:eastAsiaTheme="minorHAnsi" w:hAnsi="Times New Roman"/>
          <w:b/>
          <w:sz w:val="28"/>
          <w:szCs w:val="28"/>
          <w:lang w:eastAsia="en-US"/>
        </w:rPr>
        <w:t>(за исключением</w:t>
      </w:r>
    </w:p>
    <w:p w:rsidR="00257D0E" w:rsidRDefault="00273927" w:rsidP="00257D0E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остатков </w:t>
      </w:r>
      <w:r w:rsidR="00257D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средств </w:t>
      </w:r>
      <w:r w:rsidR="00257D0E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межбюджетны</w:t>
      </w:r>
      <w:r w:rsidR="00257D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х </w:t>
      </w:r>
      <w:r w:rsidR="00257D0E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трансферт</w:t>
      </w:r>
      <w:r w:rsidR="00257D0E">
        <w:rPr>
          <w:rFonts w:ascii="Times New Roman" w:eastAsiaTheme="minorHAnsi" w:hAnsi="Times New Roman"/>
          <w:b/>
          <w:sz w:val="28"/>
          <w:szCs w:val="28"/>
          <w:lang w:eastAsia="en-US"/>
        </w:rPr>
        <w:t>ов</w:t>
      </w:r>
      <w:r w:rsidR="006B5F8B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</w:p>
    <w:p w:rsidR="00257D0E" w:rsidRDefault="00257D0E" w:rsidP="00257D0E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предоставляемых</w:t>
      </w:r>
      <w:proofErr w:type="gramEnd"/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из </w:t>
      </w:r>
      <w:r w:rsidR="006F7500">
        <w:rPr>
          <w:rFonts w:ascii="Times New Roman" w:eastAsiaTheme="minorHAnsi" w:hAnsi="Times New Roman"/>
          <w:b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едерального бюджета)</w:t>
      </w:r>
    </w:p>
    <w:p w:rsidR="00257D0E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на начало</w:t>
      </w:r>
      <w:r w:rsidR="00257D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текущего финансового</w:t>
      </w:r>
      <w:r w:rsidR="0054466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года в объеме,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не превышающем сумму остатка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неисполь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зованных бюджетных ассигнований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на предоставление из республиканского бюджета</w:t>
      </w:r>
    </w:p>
    <w:p w:rsidR="009C2AE3" w:rsidRDefault="009C2AE3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Республики Адыгея местным бюджетам </w:t>
      </w:r>
    </w:p>
    <w:p w:rsidR="009C2AE3" w:rsidRDefault="003D7830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</w:t>
      </w:r>
      <w:r w:rsidR="00754C3D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убвенций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</w:t>
      </w:r>
      <w:r w:rsidR="00754C3D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субсидий </w:t>
      </w:r>
      <w:r w:rsidR="00754C3D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и иных</w:t>
      </w:r>
      <w:r w:rsidR="009C2A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754C3D"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межбюджетных трансфертов,</w:t>
      </w:r>
    </w:p>
    <w:p w:rsidR="009C2AE3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имеющих целевое</w:t>
      </w:r>
      <w:r w:rsidR="009C2A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назначение, предоставление</w:t>
      </w:r>
    </w:p>
    <w:p w:rsidR="009C2AE3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которых в отчетном</w:t>
      </w:r>
      <w:r w:rsidR="009C2A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финансовом году осуществлялось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в пределах</w:t>
      </w:r>
      <w:r w:rsidR="009C2AE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суммы, необходимой для оплаты денежных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обязательств получателей средств местного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бюджета, источником финансового обеспечения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которых являлись указанные межбюджетные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трансферты, на увеличение бюджетных</w:t>
      </w:r>
    </w:p>
    <w:p w:rsid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ассигнований на предоставление указанных</w:t>
      </w:r>
    </w:p>
    <w:p w:rsidR="002C4961" w:rsidRPr="00754C3D" w:rsidRDefault="00754C3D" w:rsidP="002C4961">
      <w:pPr>
        <w:pStyle w:val="Oaen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C3D">
        <w:rPr>
          <w:rFonts w:ascii="Times New Roman" w:eastAsiaTheme="minorHAnsi" w:hAnsi="Times New Roman"/>
          <w:b/>
          <w:sz w:val="28"/>
          <w:szCs w:val="28"/>
          <w:lang w:eastAsia="en-US"/>
        </w:rPr>
        <w:t>межбюджетных трансфертов</w:t>
      </w:r>
    </w:p>
    <w:p w:rsidR="009A4F78" w:rsidRDefault="009A4F78" w:rsidP="009A4F78">
      <w:pPr>
        <w:pStyle w:val="Oaeno"/>
        <w:rPr>
          <w:rFonts w:ascii="Times New Roman" w:hAnsi="Times New Roman"/>
          <w:b/>
          <w:sz w:val="28"/>
        </w:rPr>
      </w:pPr>
    </w:p>
    <w:p w:rsidR="009A4F78" w:rsidRDefault="009A4F78" w:rsidP="009A4F7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9A4F78">
        <w:rPr>
          <w:rFonts w:eastAsiaTheme="minorHAnsi"/>
          <w:sz w:val="28"/>
          <w:szCs w:val="28"/>
          <w:lang w:eastAsia="en-US"/>
        </w:rPr>
        <w:t xml:space="preserve">Бюджетным </w:t>
      </w:r>
      <w:hyperlink r:id="rId9" w:history="1">
        <w:r w:rsidRPr="009A4F7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88086F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sz w:val="28"/>
        </w:rPr>
        <w:t xml:space="preserve"> </w:t>
      </w:r>
    </w:p>
    <w:p w:rsidR="009A4F78" w:rsidRDefault="009A4F78" w:rsidP="00A84D47">
      <w:pPr>
        <w:pStyle w:val="Oaeno"/>
        <w:jc w:val="both"/>
        <w:rPr>
          <w:rFonts w:ascii="Times New Roman" w:hAnsi="Times New Roman"/>
          <w:sz w:val="28"/>
        </w:rPr>
      </w:pPr>
    </w:p>
    <w:p w:rsidR="009A4F78" w:rsidRPr="004A6AFA" w:rsidRDefault="009A4F78" w:rsidP="009A4F78">
      <w:pPr>
        <w:pStyle w:val="Oaen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 w:rsidR="004A6AFA" w:rsidRPr="004A6AFA">
        <w:rPr>
          <w:rFonts w:ascii="Times New Roman" w:hAnsi="Times New Roman"/>
          <w:b/>
          <w:sz w:val="28"/>
        </w:rPr>
        <w:t>П</w:t>
      </w:r>
      <w:r w:rsidRPr="004A6AFA">
        <w:rPr>
          <w:rFonts w:ascii="Times New Roman" w:hAnsi="Times New Roman"/>
          <w:b/>
          <w:sz w:val="28"/>
        </w:rPr>
        <w:t xml:space="preserve"> р и к а з ы в а ю:</w:t>
      </w:r>
    </w:p>
    <w:p w:rsidR="00142BA5" w:rsidRDefault="00142BA5" w:rsidP="00FF5A4C">
      <w:pPr>
        <w:pStyle w:val="Oaeno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756146" w:rsidRPr="00273927" w:rsidRDefault="009A4F78" w:rsidP="00142BA5">
      <w:pPr>
        <w:pStyle w:val="Oaeno"/>
        <w:tabs>
          <w:tab w:val="left" w:pos="709"/>
        </w:tabs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3927">
        <w:rPr>
          <w:rFonts w:ascii="Times New Roman" w:hAnsi="Times New Roman"/>
          <w:sz w:val="28"/>
          <w:szCs w:val="28"/>
        </w:rPr>
        <w:t>1.</w:t>
      </w:r>
      <w:r w:rsidR="00FF5A4C">
        <w:rPr>
          <w:rFonts w:ascii="Times New Roman" w:hAnsi="Times New Roman"/>
          <w:sz w:val="28"/>
          <w:szCs w:val="28"/>
        </w:rPr>
        <w:t> </w:t>
      </w:r>
      <w:r w:rsidR="00142B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E3C1B">
        <w:rPr>
          <w:rFonts w:ascii="Times New Roman" w:eastAsiaTheme="minorHAnsi" w:hAnsi="Times New Roman"/>
          <w:sz w:val="28"/>
          <w:szCs w:val="28"/>
          <w:lang w:eastAsia="en-US"/>
        </w:rPr>
        <w:t>твердить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440997">
        <w:rPr>
          <w:rFonts w:ascii="Times New Roman" w:eastAsiaTheme="minorHAnsi" w:hAnsi="Times New Roman"/>
          <w:sz w:val="28"/>
          <w:szCs w:val="28"/>
          <w:lang w:eastAsia="en-US"/>
        </w:rPr>
        <w:t>прилагаемый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409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history="1">
        <w:r w:rsidR="00756146" w:rsidRPr="00273927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направления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остатков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средств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4961" w:rsidRPr="00273927">
        <w:rPr>
          <w:rFonts w:ascii="Times New Roman" w:eastAsiaTheme="minorHAnsi" w:hAnsi="Times New Roman"/>
          <w:sz w:val="28"/>
          <w:szCs w:val="28"/>
          <w:lang w:eastAsia="en-US"/>
        </w:rPr>
        <w:t>республиканского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бюджета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B65DFE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Адыгея</w:t>
      </w:r>
      <w:r w:rsid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>(за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исключением</w:t>
      </w:r>
      <w:r w:rsid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остатков средств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межбюджетных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>трансфертов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предоставляемых  из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067C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>едерального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927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бюджета)</w:t>
      </w:r>
      <w:r w:rsid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начало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текущего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года в объеме, не превышающем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сумму остатка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неиспользованных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ассигнований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из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C4961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республиканского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EE37E7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Республики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EE37E7" w:rsidRPr="00273927">
        <w:rPr>
          <w:rFonts w:ascii="Times New Roman" w:eastAsiaTheme="minorHAnsi" w:hAnsi="Times New Roman"/>
          <w:sz w:val="28"/>
          <w:szCs w:val="28"/>
          <w:lang w:eastAsia="en-US"/>
        </w:rPr>
        <w:t>Адыгея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37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местным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бюджетам субвенций</w:t>
      </w:r>
      <w:r w:rsidR="00CD00EC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00EC" w:rsidRPr="00CD00E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D00EC" w:rsidRPr="00273927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142B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иных межбюджетных трансфертов, имеющих целевое назначение, предоставление которых в отчетном финансовом году осуществлялось в</w:t>
      </w:r>
      <w:proofErr w:type="gramEnd"/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756146" w:rsidRPr="00273927">
        <w:rPr>
          <w:rFonts w:ascii="Times New Roman" w:eastAsiaTheme="minorHAnsi" w:hAnsi="Times New Roman"/>
          <w:sz w:val="28"/>
          <w:szCs w:val="28"/>
          <w:lang w:eastAsia="en-US"/>
        </w:rPr>
        <w:t>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на увеличение бюджетных ассигнований на предоставление указанных межбюджетных трансфертов.</w:t>
      </w:r>
      <w:proofErr w:type="gramEnd"/>
    </w:p>
    <w:p w:rsidR="00F2060B" w:rsidRDefault="00F2060B" w:rsidP="008124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Настоящий приказ вступает в силу с момента его подписания.</w:t>
      </w:r>
    </w:p>
    <w:p w:rsidR="00756146" w:rsidRDefault="00F2060B" w:rsidP="00756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756146">
        <w:rPr>
          <w:rFonts w:eastAsiaTheme="minorHAnsi"/>
          <w:sz w:val="28"/>
          <w:szCs w:val="28"/>
          <w:lang w:eastAsia="en-US"/>
        </w:rPr>
        <w:t>. Контроль исполнения настоящего приказа оставляю за собой.</w:t>
      </w:r>
    </w:p>
    <w:p w:rsidR="00F00021" w:rsidRDefault="00F00021" w:rsidP="00756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5A4C" w:rsidRDefault="00FF5A4C" w:rsidP="00756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021" w:rsidRDefault="00F00021" w:rsidP="00756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021" w:rsidRDefault="00F00021" w:rsidP="00756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0021" w:rsidRDefault="00F00021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3709">
        <w:rPr>
          <w:sz w:val="28"/>
          <w:szCs w:val="28"/>
        </w:rPr>
        <w:t xml:space="preserve">Министр                                                            </w:t>
      </w:r>
      <w:r>
        <w:rPr>
          <w:sz w:val="28"/>
          <w:szCs w:val="28"/>
        </w:rPr>
        <w:t xml:space="preserve">              </w:t>
      </w:r>
      <w:r w:rsidRPr="00DF3709">
        <w:rPr>
          <w:sz w:val="28"/>
          <w:szCs w:val="28"/>
        </w:rPr>
        <w:t xml:space="preserve">   Д.З. </w:t>
      </w:r>
      <w:proofErr w:type="spellStart"/>
      <w:r w:rsidRPr="00DF3709">
        <w:rPr>
          <w:sz w:val="28"/>
          <w:szCs w:val="28"/>
        </w:rPr>
        <w:t>Долев</w:t>
      </w:r>
      <w:proofErr w:type="spellEnd"/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273927" w:rsidP="00273927">
      <w:pPr>
        <w:tabs>
          <w:tab w:val="left" w:pos="147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93" w:rsidRDefault="00D67D93" w:rsidP="00C656A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5A4C" w:rsidRDefault="00FF5A4C" w:rsidP="00C656A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172" w:rsidRDefault="003A7172" w:rsidP="00C656A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6A0" w:rsidRPr="000C3A1B" w:rsidRDefault="00C656A0" w:rsidP="00C656A0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3A1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56A0" w:rsidRPr="000C3A1B" w:rsidRDefault="00C656A0" w:rsidP="00C656A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3A1B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C656A0" w:rsidRPr="000C3A1B" w:rsidRDefault="00C656A0" w:rsidP="00C656A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C3A1B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C656A0" w:rsidRPr="000C3A1B" w:rsidRDefault="00C656A0" w:rsidP="00C656A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A1B">
        <w:rPr>
          <w:rFonts w:ascii="Times New Roman" w:hAnsi="Times New Roman" w:cs="Times New Roman"/>
          <w:sz w:val="28"/>
          <w:szCs w:val="28"/>
        </w:rPr>
        <w:t>т</w:t>
      </w:r>
      <w:r w:rsidR="00AA147D">
        <w:rPr>
          <w:rFonts w:ascii="Times New Roman" w:hAnsi="Times New Roman" w:cs="Times New Roman"/>
          <w:sz w:val="28"/>
          <w:szCs w:val="28"/>
        </w:rPr>
        <w:t xml:space="preserve">  </w:t>
      </w:r>
      <w:r w:rsidR="00AA147D" w:rsidRPr="00AA147D">
        <w:rPr>
          <w:rFonts w:ascii="Times New Roman" w:hAnsi="Times New Roman" w:cs="Times New Roman"/>
          <w:sz w:val="28"/>
          <w:szCs w:val="28"/>
          <w:u w:val="single"/>
        </w:rPr>
        <w:t>21.02.2020</w:t>
      </w:r>
      <w:r w:rsidR="00AA147D">
        <w:rPr>
          <w:rFonts w:ascii="Times New Roman" w:hAnsi="Times New Roman" w:cs="Times New Roman"/>
          <w:sz w:val="28"/>
          <w:szCs w:val="28"/>
        </w:rPr>
        <w:t xml:space="preserve"> </w:t>
      </w:r>
      <w:r w:rsidRPr="000C3A1B">
        <w:rPr>
          <w:rFonts w:ascii="Times New Roman" w:hAnsi="Times New Roman" w:cs="Times New Roman"/>
          <w:sz w:val="28"/>
          <w:szCs w:val="28"/>
        </w:rPr>
        <w:t>№</w:t>
      </w:r>
      <w:r w:rsidR="00AA147D">
        <w:rPr>
          <w:rFonts w:ascii="Times New Roman" w:hAnsi="Times New Roman" w:cs="Times New Roman"/>
          <w:sz w:val="28"/>
          <w:szCs w:val="28"/>
        </w:rPr>
        <w:t xml:space="preserve">  </w:t>
      </w:r>
      <w:r w:rsidR="00AA147D" w:rsidRPr="00AA147D">
        <w:rPr>
          <w:rFonts w:ascii="Times New Roman" w:hAnsi="Times New Roman" w:cs="Times New Roman"/>
          <w:sz w:val="28"/>
          <w:szCs w:val="28"/>
          <w:u w:val="single"/>
        </w:rPr>
        <w:t>23-А</w:t>
      </w:r>
    </w:p>
    <w:p w:rsidR="00C656A0" w:rsidRDefault="00C656A0" w:rsidP="007561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0746" w:rsidRPr="003E5449" w:rsidRDefault="00005FDA" w:rsidP="004554F3">
      <w:pPr>
        <w:pStyle w:val="Oaeno"/>
        <w:tabs>
          <w:tab w:val="left" w:pos="709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r w:rsidR="002D2E74" w:rsidRPr="003E5449">
          <w:rPr>
            <w:rFonts w:ascii="Times New Roman" w:eastAsiaTheme="minorHAnsi" w:hAnsi="Times New Roman"/>
            <w:sz w:val="28"/>
            <w:szCs w:val="28"/>
            <w:lang w:eastAsia="en-US"/>
          </w:rPr>
          <w:t>Порядок</w:t>
        </w:r>
      </w:hyperlink>
      <w:r w:rsidR="002D2E74" w:rsidRPr="003E5449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направления остатков средств </w:t>
      </w:r>
      <w:bookmarkStart w:id="0" w:name="_GoBack"/>
      <w:r w:rsidR="002D2E74" w:rsidRPr="003E5449">
        <w:rPr>
          <w:rFonts w:ascii="Times New Roman" w:eastAsiaTheme="minorHAnsi" w:hAnsi="Times New Roman"/>
          <w:sz w:val="28"/>
          <w:szCs w:val="28"/>
          <w:lang w:eastAsia="en-US"/>
        </w:rPr>
        <w:t>республиканского</w:t>
      </w:r>
      <w:bookmarkEnd w:id="0"/>
      <w:r w:rsidR="002D2E74" w:rsidRPr="003E5449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</w:t>
      </w:r>
      <w:r w:rsidR="005E2765">
        <w:rPr>
          <w:rFonts w:ascii="Times New Roman" w:eastAsiaTheme="minorHAnsi" w:hAnsi="Times New Roman"/>
          <w:sz w:val="28"/>
          <w:szCs w:val="28"/>
          <w:lang w:eastAsia="en-US"/>
        </w:rPr>
        <w:t xml:space="preserve"> Республики Адыгея</w:t>
      </w:r>
      <w:r w:rsidR="00DF1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9E0" w:rsidRPr="00273927">
        <w:rPr>
          <w:rFonts w:ascii="Times New Roman" w:eastAsiaTheme="minorHAnsi" w:hAnsi="Times New Roman"/>
          <w:sz w:val="28"/>
          <w:szCs w:val="28"/>
          <w:lang w:eastAsia="en-US"/>
        </w:rPr>
        <w:t>(за исключением</w:t>
      </w:r>
      <w:r w:rsidR="00DF1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9E0" w:rsidRPr="00273927">
        <w:rPr>
          <w:rFonts w:ascii="Times New Roman" w:eastAsiaTheme="minorHAnsi" w:hAnsi="Times New Roman"/>
          <w:sz w:val="28"/>
          <w:szCs w:val="28"/>
          <w:lang w:eastAsia="en-US"/>
        </w:rPr>
        <w:t>остатков средств межбюджетных трансфертов</w:t>
      </w:r>
      <w:r w:rsidR="00CC5C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F1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9E0" w:rsidRPr="00273927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предоставляемых  из </w:t>
      </w:r>
      <w:r w:rsidR="00D5067C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 w:rsidR="00DF19E0" w:rsidRPr="00273927">
        <w:rPr>
          <w:rFonts w:ascii="Times New Roman" w:eastAsiaTheme="minorHAnsi" w:hAnsi="Times New Roman"/>
          <w:sz w:val="28"/>
          <w:szCs w:val="28"/>
          <w:lang w:eastAsia="en-US"/>
        </w:rPr>
        <w:t>едерального бюджета)</w:t>
      </w:r>
      <w:r w:rsidR="00DF19E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2E74" w:rsidRPr="003E544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начало текущего финансового года в объеме, не превышающем сумму остатка неиспользованных бюджетных ассигнований на предоставление из республиканского бюджета</w:t>
      </w:r>
      <w:r w:rsidR="00E54355" w:rsidRPr="00E543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54355">
        <w:rPr>
          <w:rFonts w:ascii="Times New Roman" w:eastAsiaTheme="minorHAnsi" w:hAnsi="Times New Roman"/>
          <w:sz w:val="28"/>
          <w:szCs w:val="28"/>
          <w:lang w:eastAsia="en-US"/>
        </w:rPr>
        <w:t>Республики Адыгея</w:t>
      </w:r>
      <w:r w:rsidR="002D2E74" w:rsidRPr="003E5449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местным бюджетам субвенций</w:t>
      </w:r>
      <w:r w:rsidR="00130CC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30CC9" w:rsidRPr="003E5449"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="002D2E74" w:rsidRPr="003E5449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на увеличение бюджетных ассигнований на предоставление указанных межбюджетных трансфертов</w:t>
      </w:r>
    </w:p>
    <w:p w:rsidR="000D46A9" w:rsidRPr="003E5449" w:rsidRDefault="000D46A9" w:rsidP="002D2E74">
      <w:pPr>
        <w:pStyle w:val="Oaen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3A3D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3E5449"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правила направления остатков средств </w:t>
      </w:r>
      <w:r w:rsidR="006829DE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EE644F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="001C1CCF">
        <w:rPr>
          <w:rFonts w:eastAsiaTheme="minorHAnsi"/>
          <w:sz w:val="28"/>
          <w:szCs w:val="28"/>
          <w:lang w:eastAsia="en-US"/>
        </w:rPr>
        <w:t xml:space="preserve"> </w:t>
      </w:r>
      <w:r w:rsidR="001C1CCF" w:rsidRPr="00273927">
        <w:rPr>
          <w:rFonts w:eastAsiaTheme="minorHAnsi"/>
          <w:sz w:val="28"/>
          <w:szCs w:val="28"/>
          <w:lang w:eastAsia="en-US"/>
        </w:rPr>
        <w:t>(за исключением</w:t>
      </w:r>
      <w:r w:rsidR="001C1CCF">
        <w:rPr>
          <w:rFonts w:eastAsiaTheme="minorHAnsi"/>
          <w:sz w:val="28"/>
          <w:szCs w:val="28"/>
          <w:lang w:eastAsia="en-US"/>
        </w:rPr>
        <w:t xml:space="preserve"> </w:t>
      </w:r>
      <w:r w:rsidR="001C1CCF" w:rsidRPr="00273927">
        <w:rPr>
          <w:rFonts w:eastAsiaTheme="minorHAnsi"/>
          <w:sz w:val="28"/>
          <w:szCs w:val="28"/>
          <w:lang w:eastAsia="en-US"/>
        </w:rPr>
        <w:t>остатков средств межбюджетных трансфертов</w:t>
      </w:r>
      <w:r w:rsidR="001C1CCF">
        <w:rPr>
          <w:rFonts w:eastAsiaTheme="minorHAnsi"/>
          <w:sz w:val="28"/>
          <w:szCs w:val="28"/>
          <w:lang w:eastAsia="en-US"/>
        </w:rPr>
        <w:t xml:space="preserve"> </w:t>
      </w:r>
      <w:r w:rsidR="001C1CCF" w:rsidRPr="00273927">
        <w:rPr>
          <w:rFonts w:eastAsiaTheme="minorHAnsi"/>
          <w:sz w:val="28"/>
          <w:szCs w:val="28"/>
          <w:lang w:eastAsia="en-US"/>
        </w:rPr>
        <w:t>предоставляемых</w:t>
      </w:r>
      <w:r w:rsidR="00D5067C">
        <w:rPr>
          <w:rFonts w:eastAsiaTheme="minorHAnsi"/>
          <w:sz w:val="28"/>
          <w:szCs w:val="28"/>
          <w:lang w:eastAsia="en-US"/>
        </w:rPr>
        <w:t xml:space="preserve">, </w:t>
      </w:r>
      <w:r w:rsidR="001C1CCF" w:rsidRPr="00273927">
        <w:rPr>
          <w:rFonts w:eastAsiaTheme="minorHAnsi"/>
          <w:sz w:val="28"/>
          <w:szCs w:val="28"/>
          <w:lang w:eastAsia="en-US"/>
        </w:rPr>
        <w:t xml:space="preserve">  из </w:t>
      </w:r>
      <w:r w:rsidR="001652B0">
        <w:rPr>
          <w:rFonts w:eastAsiaTheme="minorHAnsi"/>
          <w:sz w:val="28"/>
          <w:szCs w:val="28"/>
          <w:lang w:eastAsia="en-US"/>
        </w:rPr>
        <w:t>ф</w:t>
      </w:r>
      <w:r w:rsidR="001C1CCF" w:rsidRPr="00273927">
        <w:rPr>
          <w:rFonts w:eastAsiaTheme="minorHAnsi"/>
          <w:sz w:val="28"/>
          <w:szCs w:val="28"/>
          <w:lang w:eastAsia="en-US"/>
        </w:rPr>
        <w:t>едерального бюджета)</w:t>
      </w:r>
      <w:r w:rsidR="001C1CCF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 xml:space="preserve"> на начало текущего финансового года в объеме, не превышающем сумму остатка неиспользованных бюджетных ассигнований на предоставление из </w:t>
      </w:r>
      <w:r w:rsidR="006829DE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AB639F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местным бюджетам субвенций</w:t>
      </w:r>
      <w:r w:rsidR="009C3182">
        <w:rPr>
          <w:rFonts w:eastAsiaTheme="minorHAnsi"/>
          <w:sz w:val="28"/>
          <w:szCs w:val="28"/>
          <w:lang w:eastAsia="en-US"/>
        </w:rPr>
        <w:t>,</w:t>
      </w:r>
      <w:r w:rsidR="009C3182" w:rsidRPr="009C3182">
        <w:rPr>
          <w:rFonts w:eastAsiaTheme="minorHAnsi"/>
          <w:sz w:val="28"/>
          <w:szCs w:val="28"/>
          <w:lang w:eastAsia="en-US"/>
        </w:rPr>
        <w:t xml:space="preserve"> </w:t>
      </w:r>
      <w:r w:rsidR="009C3182" w:rsidRPr="003E5449">
        <w:rPr>
          <w:rFonts w:eastAsiaTheme="minorHAnsi"/>
          <w:sz w:val="28"/>
          <w:szCs w:val="28"/>
          <w:lang w:eastAsia="en-US"/>
        </w:rPr>
        <w:t>субсидий</w:t>
      </w:r>
      <w:r w:rsidRPr="003E5449">
        <w:rPr>
          <w:rFonts w:eastAsiaTheme="minorHAnsi"/>
          <w:sz w:val="28"/>
          <w:szCs w:val="28"/>
          <w:lang w:eastAsia="en-US"/>
        </w:rPr>
        <w:t xml:space="preserve">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на увеличение бюджетных ассигнований на предоставление указанных межбюджетных трансфертов (далее - Порядок).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3E5449">
        <w:rPr>
          <w:rFonts w:eastAsiaTheme="minorHAnsi"/>
          <w:sz w:val="28"/>
          <w:szCs w:val="28"/>
          <w:lang w:eastAsia="en-US"/>
        </w:rPr>
        <w:t xml:space="preserve">В целях направления указанных в </w:t>
      </w:r>
      <w:hyperlink w:anchor="Par0" w:history="1">
        <w:r w:rsidRPr="003E544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3E5449">
        <w:rPr>
          <w:rFonts w:eastAsiaTheme="minorHAnsi"/>
          <w:sz w:val="28"/>
          <w:szCs w:val="28"/>
          <w:lang w:eastAsia="en-US"/>
        </w:rPr>
        <w:t xml:space="preserve"> настоящего Порядка остатков средств на увеличение бюджетных ассигнований текущего года главный распорядитель средств </w:t>
      </w:r>
      <w:r w:rsidR="006829DE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FB0DB8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представляет в срок, указанный в </w:t>
      </w:r>
      <w:hyperlink w:anchor="Par27" w:history="1">
        <w:r w:rsidRPr="003E5449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3E5449">
        <w:rPr>
          <w:rFonts w:eastAsiaTheme="minorHAnsi"/>
          <w:sz w:val="28"/>
          <w:szCs w:val="28"/>
          <w:lang w:eastAsia="en-US"/>
        </w:rPr>
        <w:t xml:space="preserve"> настоящего Порядка, в </w:t>
      </w:r>
      <w:r w:rsidR="006829DE" w:rsidRPr="003E5449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3E5449">
        <w:rPr>
          <w:rFonts w:eastAsiaTheme="minorHAnsi"/>
          <w:sz w:val="28"/>
          <w:szCs w:val="28"/>
          <w:lang w:eastAsia="en-US"/>
        </w:rPr>
        <w:t xml:space="preserve">финансов </w:t>
      </w:r>
      <w:r w:rsidR="006829DE" w:rsidRPr="003E5449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(далее - </w:t>
      </w:r>
      <w:r w:rsidR="006829DE" w:rsidRPr="003E5449">
        <w:rPr>
          <w:rFonts w:eastAsiaTheme="minorHAnsi"/>
          <w:sz w:val="28"/>
          <w:szCs w:val="28"/>
          <w:lang w:eastAsia="en-US"/>
        </w:rPr>
        <w:t>Министерство</w:t>
      </w:r>
      <w:r w:rsidRPr="003E5449">
        <w:rPr>
          <w:rFonts w:eastAsiaTheme="minorHAnsi"/>
          <w:sz w:val="28"/>
          <w:szCs w:val="28"/>
          <w:lang w:eastAsia="en-US"/>
        </w:rPr>
        <w:t>) информацию о неиспользованных на начало текущего финансового года бюджетных ассигнованиях местного бюджета на оплату заключенных от имени муниципального образования муниципальных</w:t>
      </w:r>
      <w:proofErr w:type="gramEnd"/>
      <w:r w:rsidRPr="003E54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E5449">
        <w:rPr>
          <w:rFonts w:eastAsiaTheme="minorHAnsi"/>
          <w:sz w:val="28"/>
          <w:szCs w:val="28"/>
          <w:lang w:eastAsia="en-US"/>
        </w:rPr>
        <w:t xml:space="preserve">контрактов на поставку товаров, выполнение работ, оказание услуг в случае, если они подлежали в соответствии с условиями этих муниципальных контрактов </w:t>
      </w:r>
      <w:r w:rsidRPr="003E5449">
        <w:rPr>
          <w:rFonts w:eastAsiaTheme="minorHAnsi"/>
          <w:sz w:val="28"/>
          <w:szCs w:val="28"/>
          <w:lang w:eastAsia="en-US"/>
        </w:rPr>
        <w:lastRenderedPageBreak/>
        <w:t xml:space="preserve">оплате в отчетном финансовом году, представленную в их адрес в соответствии с </w:t>
      </w:r>
      <w:hyperlink w:anchor="Par3" w:history="1">
        <w:r w:rsidRPr="003E5449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3E5449">
        <w:rPr>
          <w:rFonts w:eastAsiaTheme="minorHAnsi"/>
          <w:sz w:val="28"/>
          <w:szCs w:val="28"/>
          <w:lang w:eastAsia="en-US"/>
        </w:rPr>
        <w:t xml:space="preserve"> Порядка финансовым органом муниципальных образований, необходимую для увеличения бюджетных ассигнований, предусмотренных главному распорядителю средств </w:t>
      </w:r>
      <w:r w:rsidR="008A74F0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DB4BEB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на предоставление местным бюджетам указанных межбюджетных трансфертов, предоставление</w:t>
      </w:r>
      <w:proofErr w:type="gramEnd"/>
      <w:r w:rsidRPr="003E54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E5449">
        <w:rPr>
          <w:rFonts w:eastAsiaTheme="minorHAnsi"/>
          <w:sz w:val="28"/>
          <w:szCs w:val="28"/>
          <w:lang w:eastAsia="en-US"/>
        </w:rPr>
        <w:t>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в размере, не превышающем</w:t>
      </w:r>
      <w:r w:rsidR="007813C6">
        <w:rPr>
          <w:rFonts w:eastAsiaTheme="minorHAnsi"/>
          <w:sz w:val="28"/>
          <w:szCs w:val="28"/>
          <w:lang w:eastAsia="en-US"/>
        </w:rPr>
        <w:t>,</w:t>
      </w:r>
      <w:r w:rsidRPr="003E5449">
        <w:rPr>
          <w:rFonts w:eastAsiaTheme="minorHAnsi"/>
          <w:sz w:val="28"/>
          <w:szCs w:val="28"/>
          <w:lang w:eastAsia="en-US"/>
        </w:rPr>
        <w:t xml:space="preserve"> с учетом уровня </w:t>
      </w:r>
      <w:proofErr w:type="spellStart"/>
      <w:r w:rsidRPr="003E544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7813C6">
        <w:rPr>
          <w:rFonts w:eastAsiaTheme="minorHAnsi"/>
          <w:sz w:val="28"/>
          <w:szCs w:val="28"/>
          <w:lang w:eastAsia="en-US"/>
        </w:rPr>
        <w:t>,</w:t>
      </w:r>
      <w:r w:rsidRPr="003E5449">
        <w:rPr>
          <w:rFonts w:eastAsiaTheme="minorHAnsi"/>
          <w:sz w:val="28"/>
          <w:szCs w:val="28"/>
          <w:lang w:eastAsia="en-US"/>
        </w:rPr>
        <w:t xml:space="preserve"> остатка не использованных на начало текущего финансового года бюджетных ассигнований местного бюджета на оплату заключенных от имени муниципального образования муниципальных контрактов на поставку товаров, выполнение работ</w:t>
      </w:r>
      <w:proofErr w:type="gramEnd"/>
      <w:r w:rsidRPr="003E5449">
        <w:rPr>
          <w:rFonts w:eastAsiaTheme="minorHAnsi"/>
          <w:sz w:val="28"/>
          <w:szCs w:val="28"/>
          <w:lang w:eastAsia="en-US"/>
        </w:rPr>
        <w:t>, оказание услуг в случае, если они подлежали в соответствии с условиями этих муниципальных контрактов оплате в отчетном финансовом году (далее соответственно - бюджетные ассигнования на предоставление межбюджетных трансфертов местным бюджетам, муниципальные контракты).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"/>
      <w:bookmarkEnd w:id="2"/>
      <w:r w:rsidRPr="003E544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3E5449">
        <w:rPr>
          <w:rFonts w:eastAsiaTheme="minorHAnsi"/>
          <w:sz w:val="28"/>
          <w:szCs w:val="28"/>
          <w:lang w:eastAsia="en-US"/>
        </w:rPr>
        <w:t xml:space="preserve">Финансовый орган муниципального образования не позднее 1 марта текущего финансового года обеспечивает формирование и представление соответствующему главному распорядителю средств </w:t>
      </w:r>
      <w:r w:rsidR="00D60085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157EC2">
        <w:rPr>
          <w:rFonts w:eastAsiaTheme="minorHAnsi"/>
          <w:sz w:val="28"/>
          <w:szCs w:val="28"/>
          <w:lang w:eastAsia="en-US"/>
        </w:rPr>
        <w:t xml:space="preserve"> Республики Адыгея </w:t>
      </w:r>
      <w:r w:rsidRPr="003E5449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3E5449">
          <w:rPr>
            <w:rFonts w:eastAsiaTheme="minorHAnsi"/>
            <w:sz w:val="28"/>
            <w:szCs w:val="28"/>
            <w:lang w:eastAsia="en-US"/>
          </w:rPr>
          <w:t>информации</w:t>
        </w:r>
      </w:hyperlink>
      <w:r w:rsidRPr="003E5449">
        <w:rPr>
          <w:rFonts w:eastAsiaTheme="minorHAnsi"/>
          <w:sz w:val="28"/>
          <w:szCs w:val="28"/>
          <w:lang w:eastAsia="en-US"/>
        </w:rPr>
        <w:t xml:space="preserve"> о неиспользованных на начало текущего финансового года бюджетных ассигнованиях местного бюджета на оплату муниципальных контрактов, заключенных от имени муниципального образования, на поставку товаров, выполнение работ, оказание услуг, подлежавших в соответствии с условиями этих муниципальных контрактов оплате</w:t>
      </w:r>
      <w:proofErr w:type="gramEnd"/>
      <w:r w:rsidRPr="003E5449">
        <w:rPr>
          <w:rFonts w:eastAsiaTheme="minorHAnsi"/>
          <w:sz w:val="28"/>
          <w:szCs w:val="28"/>
          <w:lang w:eastAsia="en-US"/>
        </w:rPr>
        <w:t xml:space="preserve"> в отчетном финансовом году, источником финансового </w:t>
      </w:r>
      <w:proofErr w:type="gramStart"/>
      <w:r w:rsidRPr="003E5449"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 w:rsidRPr="003E5449">
        <w:rPr>
          <w:rFonts w:eastAsiaTheme="minorHAnsi"/>
          <w:sz w:val="28"/>
          <w:szCs w:val="28"/>
          <w:lang w:eastAsia="en-US"/>
        </w:rPr>
        <w:t xml:space="preserve"> которых являлись межбюджетные трансферты, имеющие целевое назначение, предоставленные из </w:t>
      </w:r>
      <w:r w:rsidR="00D60085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025D3C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(далее - Информация о муниципальных контрактах), по форме приложения к Порядку.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4. В Информации о муниципальных контрактах указывается: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а) в заголовочной части: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наименование финансового органа муниципального образования;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наименование направления расходов </w:t>
      </w:r>
      <w:r w:rsidR="008E1834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C15778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на предоставление</w:t>
      </w:r>
      <w:r w:rsidR="009C3182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>субвенций</w:t>
      </w:r>
      <w:r w:rsidR="009C3182">
        <w:rPr>
          <w:rFonts w:eastAsiaTheme="minorHAnsi"/>
          <w:sz w:val="28"/>
          <w:szCs w:val="28"/>
          <w:lang w:eastAsia="en-US"/>
        </w:rPr>
        <w:t xml:space="preserve">, </w:t>
      </w:r>
      <w:r w:rsidRPr="003E5449">
        <w:rPr>
          <w:rFonts w:eastAsiaTheme="minorHAnsi"/>
          <w:sz w:val="28"/>
          <w:szCs w:val="28"/>
          <w:lang w:eastAsia="en-US"/>
        </w:rPr>
        <w:t xml:space="preserve"> </w:t>
      </w:r>
      <w:r w:rsidR="009C3182" w:rsidRPr="003E5449">
        <w:rPr>
          <w:rFonts w:eastAsiaTheme="minorHAnsi"/>
          <w:sz w:val="28"/>
          <w:szCs w:val="28"/>
          <w:lang w:eastAsia="en-US"/>
        </w:rPr>
        <w:t xml:space="preserve">субсидий </w:t>
      </w:r>
      <w:r w:rsidRPr="003E5449">
        <w:rPr>
          <w:rFonts w:eastAsiaTheme="minorHAnsi"/>
          <w:sz w:val="28"/>
          <w:szCs w:val="28"/>
          <w:lang w:eastAsia="en-US"/>
        </w:rPr>
        <w:t>и иных межбюджетных трансфертов;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наименование направления расходов местного бюджета в рамках расходного обязательства муниципального образования, в целях </w:t>
      </w:r>
      <w:proofErr w:type="spellStart"/>
      <w:r w:rsidRPr="003E544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E5449">
        <w:rPr>
          <w:rFonts w:eastAsiaTheme="minorHAnsi"/>
          <w:sz w:val="28"/>
          <w:szCs w:val="28"/>
          <w:lang w:eastAsia="en-US"/>
        </w:rPr>
        <w:t xml:space="preserve"> (финансового обеспечения) которого из </w:t>
      </w:r>
      <w:r w:rsidR="008E1834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="000C59B9" w:rsidRPr="003E5449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196B9C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предоставлялись субвенции</w:t>
      </w:r>
      <w:r w:rsidR="009C3182">
        <w:rPr>
          <w:rFonts w:eastAsiaTheme="minorHAnsi"/>
          <w:sz w:val="28"/>
          <w:szCs w:val="28"/>
          <w:lang w:eastAsia="en-US"/>
        </w:rPr>
        <w:t>,</w:t>
      </w:r>
      <w:r w:rsidR="009C3182" w:rsidRPr="009C3182">
        <w:rPr>
          <w:rFonts w:eastAsiaTheme="minorHAnsi"/>
          <w:sz w:val="28"/>
          <w:szCs w:val="28"/>
          <w:lang w:eastAsia="en-US"/>
        </w:rPr>
        <w:t xml:space="preserve"> </w:t>
      </w:r>
      <w:r w:rsidR="009C3182" w:rsidRPr="003E5449">
        <w:rPr>
          <w:rFonts w:eastAsiaTheme="minorHAnsi"/>
          <w:sz w:val="28"/>
          <w:szCs w:val="28"/>
          <w:lang w:eastAsia="en-US"/>
        </w:rPr>
        <w:t>субсидии</w:t>
      </w:r>
      <w:r w:rsidR="009C3182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 xml:space="preserve"> и иные межбюджетные трансферты;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lastRenderedPageBreak/>
        <w:t xml:space="preserve">наименование главного распорядителя средств </w:t>
      </w:r>
      <w:r w:rsidR="000C59B9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E30B17" w:rsidRPr="00E30B17">
        <w:rPr>
          <w:rFonts w:eastAsiaTheme="minorHAnsi"/>
          <w:sz w:val="28"/>
          <w:szCs w:val="28"/>
          <w:lang w:eastAsia="en-US"/>
        </w:rPr>
        <w:t xml:space="preserve"> </w:t>
      </w:r>
      <w:r w:rsidR="00E30B17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>, предоставившего соответствующий межбюджетный трансферт;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в строке </w:t>
      </w:r>
      <w:r w:rsidR="0046206E" w:rsidRPr="003E5449">
        <w:rPr>
          <w:rFonts w:eastAsiaTheme="minorHAnsi"/>
          <w:sz w:val="28"/>
          <w:szCs w:val="28"/>
          <w:lang w:eastAsia="en-US"/>
        </w:rPr>
        <w:t>«</w:t>
      </w:r>
      <w:r w:rsidRPr="003E5449">
        <w:rPr>
          <w:rFonts w:eastAsiaTheme="minorHAnsi"/>
          <w:sz w:val="28"/>
          <w:szCs w:val="28"/>
          <w:lang w:eastAsia="en-US"/>
        </w:rPr>
        <w:t>Вид документа</w:t>
      </w:r>
      <w:r w:rsidR="0046206E" w:rsidRPr="003E5449">
        <w:rPr>
          <w:rFonts w:eastAsiaTheme="minorHAnsi"/>
          <w:sz w:val="28"/>
          <w:szCs w:val="28"/>
          <w:lang w:eastAsia="en-US"/>
        </w:rPr>
        <w:t>»</w:t>
      </w:r>
      <w:r w:rsidRPr="003E5449">
        <w:rPr>
          <w:rFonts w:eastAsiaTheme="minorHAnsi"/>
          <w:sz w:val="28"/>
          <w:szCs w:val="28"/>
          <w:lang w:eastAsia="en-US"/>
        </w:rPr>
        <w:t xml:space="preserve"> - значение </w:t>
      </w:r>
      <w:r w:rsidR="0046206E" w:rsidRPr="003E5449">
        <w:rPr>
          <w:rFonts w:eastAsiaTheme="minorHAnsi"/>
          <w:sz w:val="28"/>
          <w:szCs w:val="28"/>
          <w:lang w:eastAsia="en-US"/>
        </w:rPr>
        <w:t>«</w:t>
      </w:r>
      <w:r w:rsidRPr="003E5449">
        <w:rPr>
          <w:rFonts w:eastAsiaTheme="minorHAnsi"/>
          <w:sz w:val="28"/>
          <w:szCs w:val="28"/>
          <w:lang w:eastAsia="en-US"/>
        </w:rPr>
        <w:t>первичный</w:t>
      </w:r>
      <w:r w:rsidR="0046206E" w:rsidRPr="003E5449">
        <w:rPr>
          <w:rFonts w:eastAsiaTheme="minorHAnsi"/>
          <w:sz w:val="28"/>
          <w:szCs w:val="28"/>
          <w:lang w:eastAsia="en-US"/>
        </w:rPr>
        <w:t>»</w:t>
      </w:r>
      <w:r w:rsidRPr="003E5449">
        <w:rPr>
          <w:rFonts w:eastAsiaTheme="minorHAnsi"/>
          <w:sz w:val="28"/>
          <w:szCs w:val="28"/>
          <w:lang w:eastAsia="en-US"/>
        </w:rPr>
        <w:t xml:space="preserve"> с указанием в кодовой зоне значения </w:t>
      </w:r>
      <w:r w:rsidR="0046206E" w:rsidRPr="003E5449">
        <w:rPr>
          <w:rFonts w:eastAsiaTheme="minorHAnsi"/>
          <w:sz w:val="28"/>
          <w:szCs w:val="28"/>
          <w:lang w:eastAsia="en-US"/>
        </w:rPr>
        <w:t>«</w:t>
      </w:r>
      <w:r w:rsidRPr="003E5449">
        <w:rPr>
          <w:rFonts w:eastAsiaTheme="minorHAnsi"/>
          <w:sz w:val="28"/>
          <w:szCs w:val="28"/>
          <w:lang w:eastAsia="en-US"/>
        </w:rPr>
        <w:t>0</w:t>
      </w:r>
      <w:r w:rsidR="0046206E" w:rsidRPr="003E5449">
        <w:rPr>
          <w:rFonts w:eastAsiaTheme="minorHAnsi"/>
          <w:sz w:val="28"/>
          <w:szCs w:val="28"/>
          <w:lang w:eastAsia="en-US"/>
        </w:rPr>
        <w:t>»</w:t>
      </w:r>
      <w:r w:rsidRPr="003E5449">
        <w:rPr>
          <w:rFonts w:eastAsiaTheme="minorHAnsi"/>
          <w:sz w:val="28"/>
          <w:szCs w:val="28"/>
          <w:lang w:eastAsia="en-US"/>
        </w:rPr>
        <w:t xml:space="preserve">. При внесении в Информацию о муниципальных контрактах изменений указывается значение </w:t>
      </w:r>
      <w:r w:rsidR="0046206E" w:rsidRPr="003E5449">
        <w:rPr>
          <w:rFonts w:eastAsiaTheme="minorHAnsi"/>
          <w:sz w:val="28"/>
          <w:szCs w:val="28"/>
          <w:lang w:eastAsia="en-US"/>
        </w:rPr>
        <w:t>«</w:t>
      </w:r>
      <w:r w:rsidRPr="003E5449">
        <w:rPr>
          <w:rFonts w:eastAsiaTheme="minorHAnsi"/>
          <w:sz w:val="28"/>
          <w:szCs w:val="28"/>
          <w:lang w:eastAsia="en-US"/>
        </w:rPr>
        <w:t>корректирующий</w:t>
      </w:r>
      <w:r w:rsidR="0046206E" w:rsidRPr="003E5449">
        <w:rPr>
          <w:rFonts w:eastAsiaTheme="minorHAnsi"/>
          <w:sz w:val="28"/>
          <w:szCs w:val="28"/>
          <w:lang w:eastAsia="en-US"/>
        </w:rPr>
        <w:t>»</w:t>
      </w:r>
      <w:r w:rsidRPr="003E5449">
        <w:rPr>
          <w:rFonts w:eastAsiaTheme="minorHAnsi"/>
          <w:sz w:val="28"/>
          <w:szCs w:val="28"/>
          <w:lang w:eastAsia="en-US"/>
        </w:rPr>
        <w:t xml:space="preserve"> с указанием в кодовой зоне порядкового номера корректировки;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б) в табличной части: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в графах 1 - 7 - номер, дата, сумма, код классификации расходов </w:t>
      </w:r>
      <w:r w:rsidR="00C12A94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AA612C" w:rsidRPr="00AA612C">
        <w:rPr>
          <w:rFonts w:eastAsiaTheme="minorHAnsi"/>
          <w:sz w:val="28"/>
          <w:szCs w:val="28"/>
          <w:lang w:eastAsia="en-US"/>
        </w:rPr>
        <w:t xml:space="preserve"> </w:t>
      </w:r>
      <w:r w:rsidR="00AA612C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в соответствии с заключенным соглашением о предоставлении из </w:t>
      </w:r>
      <w:r w:rsidR="00C12A94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AA612C" w:rsidRPr="00AA612C">
        <w:rPr>
          <w:rFonts w:eastAsiaTheme="minorHAnsi"/>
          <w:sz w:val="28"/>
          <w:szCs w:val="28"/>
          <w:lang w:eastAsia="en-US"/>
        </w:rPr>
        <w:t xml:space="preserve"> </w:t>
      </w:r>
      <w:r w:rsidR="00AA612C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местному бюджету межбюджетных трансфертов (нормативным правовым актом, устанавливающим порядок (правила) предоставления межбюджетных трансфертов, в случае если указанным нормативным правовым актом не предусмотрено заключение такого соглашения);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044">
        <w:rPr>
          <w:rFonts w:eastAsiaTheme="minorHAnsi"/>
          <w:sz w:val="28"/>
          <w:szCs w:val="28"/>
          <w:lang w:eastAsia="en-US"/>
        </w:rPr>
        <w:t xml:space="preserve">в графе 8 - неисполненный остаток бюджетного обязательства на начало текущего финансового года в соответствии с заключенным соглашением о предоставлении из </w:t>
      </w:r>
      <w:r w:rsidR="00C12A94" w:rsidRPr="00C67044">
        <w:rPr>
          <w:rFonts w:eastAsiaTheme="minorHAnsi"/>
          <w:sz w:val="28"/>
          <w:szCs w:val="28"/>
          <w:lang w:eastAsia="en-US"/>
        </w:rPr>
        <w:t>республиканского</w:t>
      </w:r>
      <w:r w:rsidRPr="00C67044">
        <w:rPr>
          <w:rFonts w:eastAsiaTheme="minorHAnsi"/>
          <w:sz w:val="28"/>
          <w:szCs w:val="28"/>
          <w:lang w:eastAsia="en-US"/>
        </w:rPr>
        <w:t xml:space="preserve"> бюджета</w:t>
      </w:r>
      <w:r w:rsidR="00A66C45" w:rsidRPr="00C67044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C67044">
        <w:rPr>
          <w:rFonts w:eastAsiaTheme="minorHAnsi"/>
          <w:sz w:val="28"/>
          <w:szCs w:val="28"/>
          <w:lang w:eastAsia="en-US"/>
        </w:rPr>
        <w:t xml:space="preserve"> местному бюджету межбюджетных трансфертов (нормативным правовым актом, устанавливающим порядок (правила) предоставления межбюджетных трансфертов, в случае если указанным нормативным правовым актом не предусмотрено заключение такого соглашения);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в графе 9 - учетный номер бюджетного обязательства по соглашению, реквизиты которого указаны в графах 1 и 2 (заполняется главным распорядителем средств </w:t>
      </w:r>
      <w:r w:rsidR="00C12A94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1372FD" w:rsidRPr="001372FD">
        <w:rPr>
          <w:rFonts w:eastAsiaTheme="minorHAnsi"/>
          <w:sz w:val="28"/>
          <w:szCs w:val="28"/>
          <w:lang w:eastAsia="en-US"/>
        </w:rPr>
        <w:t xml:space="preserve"> </w:t>
      </w:r>
      <w:r w:rsidR="001372FD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>);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в графе 10 - аналитический код цели межбюджетного трансферта, присвоенный </w:t>
      </w:r>
      <w:r w:rsidR="00C12A94" w:rsidRPr="003E5449">
        <w:rPr>
          <w:rFonts w:eastAsiaTheme="minorHAnsi"/>
          <w:sz w:val="28"/>
          <w:szCs w:val="28"/>
          <w:lang w:eastAsia="en-US"/>
        </w:rPr>
        <w:t>Министерством</w:t>
      </w:r>
      <w:r w:rsidRPr="003E5449">
        <w:rPr>
          <w:rFonts w:eastAsiaTheme="minorHAnsi"/>
          <w:sz w:val="28"/>
          <w:szCs w:val="28"/>
          <w:lang w:eastAsia="en-US"/>
        </w:rPr>
        <w:t>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в графах 11 и 12 - наименование получателя средств местного бюджета муниципального заказчика и его код по Сводному реестру;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в графах 13 и 14 - номер и дата муниципального контракта, на основании которого принято бюджетное обязательство;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в графах 15 - 18 - код классификации расходов местного бюджета, по которому в финансовом органе муниципального образования (территориальном органе Федерального казначейства) поставлены на учет бюджетные обязательства, возникшие из муниципальных контрактов;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в графе 19 - учетный номер бюджетного обязательства по муниципальному контракту, реквизиты которого указаны в графах 13 и 14;</w:t>
      </w:r>
    </w:p>
    <w:p w:rsidR="000D46A9" w:rsidRPr="003E5449" w:rsidRDefault="000D46A9" w:rsidP="004554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в графе 20 - сумма неисполненного остатка бюджетного обязательства по муниципальному контракту, реквизиты которого указаны в графах 13 и 14.</w:t>
      </w:r>
    </w:p>
    <w:p w:rsidR="000D46A9" w:rsidRPr="003E5449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Итог по данной графе подтверждается:</w:t>
      </w:r>
    </w:p>
    <w:p w:rsidR="000D46A9" w:rsidRPr="00C36A9C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A9C">
        <w:rPr>
          <w:rFonts w:eastAsiaTheme="minorHAnsi"/>
          <w:sz w:val="28"/>
          <w:szCs w:val="28"/>
          <w:lang w:eastAsia="en-US"/>
        </w:rPr>
        <w:lastRenderedPageBreak/>
        <w:t>- справкой финансового органа муниципального образования, в случае, если учет бюджетных обязательств муниципального образования не осуществляется территориальным органом Федерального казначейства;</w:t>
      </w:r>
    </w:p>
    <w:p w:rsidR="000D46A9" w:rsidRPr="00C36A9C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A9C">
        <w:rPr>
          <w:rFonts w:eastAsiaTheme="minorHAnsi"/>
          <w:sz w:val="28"/>
          <w:szCs w:val="28"/>
          <w:lang w:eastAsia="en-US"/>
        </w:rPr>
        <w:t>- копией информации территориального органа Федерального казначейства, предоставленной получателю средств местного бюджета, в случае, если учет бюджетных обязательств муниципального образования осуществляется территориальным органом Федерального казначейства;</w:t>
      </w:r>
    </w:p>
    <w:p w:rsidR="000D46A9" w:rsidRPr="003E5449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6A9C">
        <w:rPr>
          <w:rFonts w:eastAsiaTheme="minorHAnsi"/>
          <w:sz w:val="28"/>
          <w:szCs w:val="28"/>
          <w:lang w:eastAsia="en-US"/>
        </w:rPr>
        <w:t xml:space="preserve">в графе 21 - уровень </w:t>
      </w:r>
      <w:proofErr w:type="spellStart"/>
      <w:r w:rsidRPr="00C36A9C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C36A9C">
        <w:rPr>
          <w:rFonts w:eastAsiaTheme="minorHAnsi"/>
          <w:sz w:val="28"/>
          <w:szCs w:val="28"/>
          <w:lang w:eastAsia="en-US"/>
        </w:rPr>
        <w:t xml:space="preserve"> расходного обязательства</w:t>
      </w:r>
      <w:r w:rsidRPr="003E5449">
        <w:rPr>
          <w:rFonts w:eastAsiaTheme="minorHAnsi"/>
          <w:sz w:val="28"/>
          <w:szCs w:val="28"/>
          <w:lang w:eastAsia="en-US"/>
        </w:rPr>
        <w:t xml:space="preserve"> муниципального образования в соответствии с условиями предоставления межбюджетного трансферта из </w:t>
      </w:r>
      <w:r w:rsidR="007B1EEF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 </w:t>
      </w:r>
      <w:r w:rsidR="00E54355">
        <w:rPr>
          <w:rFonts w:eastAsiaTheme="minorHAnsi"/>
          <w:sz w:val="28"/>
          <w:szCs w:val="28"/>
          <w:lang w:eastAsia="en-US"/>
        </w:rPr>
        <w:t xml:space="preserve">Республики Адыгея </w:t>
      </w:r>
      <w:r w:rsidRPr="003E5449">
        <w:rPr>
          <w:rFonts w:eastAsiaTheme="minorHAnsi"/>
          <w:sz w:val="28"/>
          <w:szCs w:val="28"/>
          <w:lang w:eastAsia="en-US"/>
        </w:rPr>
        <w:t>местному бюджету;</w:t>
      </w:r>
    </w:p>
    <w:p w:rsidR="000D46A9" w:rsidRPr="003E5449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в графе 22 - сумма, в пределах которой получателю средств местного бюджета могут быть увеличены бюджетные ассигнования текущего финансового года, рассчитанная как произведение значения графы 20 на значение уровня </w:t>
      </w:r>
      <w:proofErr w:type="spellStart"/>
      <w:r w:rsidRPr="003E544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E5449">
        <w:rPr>
          <w:rFonts w:eastAsiaTheme="minorHAnsi"/>
          <w:sz w:val="28"/>
          <w:szCs w:val="28"/>
          <w:lang w:eastAsia="en-US"/>
        </w:rPr>
        <w:t>, указанного в графе 21 (деленное на 100);</w:t>
      </w:r>
    </w:p>
    <w:p w:rsidR="0070752E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в) сумма, указанная в графе 22 Информации о муниципальных контрактах, не должна превышать сумму, указанную в графе 8 Информации о муниципальных контрактах.</w:t>
      </w:r>
      <w:bookmarkStart w:id="3" w:name="Par27"/>
      <w:bookmarkEnd w:id="3"/>
    </w:p>
    <w:p w:rsidR="00584B08" w:rsidRPr="003E5449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37DE">
        <w:rPr>
          <w:rFonts w:eastAsiaTheme="minorHAnsi"/>
          <w:sz w:val="28"/>
          <w:szCs w:val="28"/>
          <w:lang w:eastAsia="en-US"/>
        </w:rPr>
        <w:t>5.</w:t>
      </w:r>
      <w:r w:rsidR="0070752E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9437DE">
        <w:rPr>
          <w:rFonts w:eastAsiaTheme="minorHAnsi"/>
          <w:sz w:val="28"/>
          <w:szCs w:val="28"/>
          <w:lang w:eastAsia="en-US"/>
        </w:rPr>
        <w:t xml:space="preserve">Главный распорядитель средств </w:t>
      </w:r>
      <w:r w:rsidR="00C92BE0" w:rsidRPr="009437DE">
        <w:rPr>
          <w:rFonts w:eastAsiaTheme="minorHAnsi"/>
          <w:sz w:val="28"/>
          <w:szCs w:val="28"/>
          <w:lang w:eastAsia="en-US"/>
        </w:rPr>
        <w:t>республиканского</w:t>
      </w:r>
      <w:r w:rsidRPr="009437DE">
        <w:rPr>
          <w:rFonts w:eastAsiaTheme="minorHAnsi"/>
          <w:sz w:val="28"/>
          <w:szCs w:val="28"/>
          <w:lang w:eastAsia="en-US"/>
        </w:rPr>
        <w:t xml:space="preserve"> бюджета</w:t>
      </w:r>
      <w:r w:rsidR="000258DE" w:rsidRPr="009437DE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Pr="009437DE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получения от финансового органа муниципального образования Информации о муниципальных контрактах </w:t>
      </w:r>
      <w:r w:rsidR="007F08C1">
        <w:rPr>
          <w:rFonts w:eastAsiaTheme="minorHAnsi"/>
          <w:sz w:val="28"/>
          <w:szCs w:val="28"/>
          <w:lang w:eastAsia="en-US"/>
        </w:rPr>
        <w:t xml:space="preserve"> </w:t>
      </w:r>
      <w:r w:rsidRPr="009437DE">
        <w:rPr>
          <w:rFonts w:eastAsiaTheme="minorHAnsi"/>
          <w:sz w:val="28"/>
          <w:szCs w:val="28"/>
          <w:lang w:eastAsia="en-US"/>
        </w:rPr>
        <w:t xml:space="preserve">в случае отсутствия замечаний и предложений формирует на ее (его) основе и направляет в </w:t>
      </w:r>
      <w:r w:rsidR="00C92BE0" w:rsidRPr="009437DE">
        <w:rPr>
          <w:rFonts w:eastAsiaTheme="minorHAnsi"/>
          <w:sz w:val="28"/>
          <w:szCs w:val="28"/>
          <w:lang w:eastAsia="en-US"/>
        </w:rPr>
        <w:t>Министерство</w:t>
      </w:r>
      <w:r w:rsidRPr="009437DE"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Pr="003E5449">
        <w:rPr>
          <w:rFonts w:eastAsiaTheme="minorHAnsi"/>
          <w:sz w:val="28"/>
          <w:szCs w:val="28"/>
          <w:lang w:eastAsia="en-US"/>
        </w:rPr>
        <w:t xml:space="preserve"> с </w:t>
      </w:r>
      <w:hyperlink r:id="rId13" w:history="1">
        <w:r w:rsidR="00584B08" w:rsidRPr="003E5449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584B08" w:rsidRPr="003E5449">
        <w:rPr>
          <w:rFonts w:eastAsiaTheme="minorHAnsi"/>
          <w:sz w:val="28"/>
          <w:szCs w:val="28"/>
          <w:lang w:eastAsia="en-US"/>
        </w:rPr>
        <w:t xml:space="preserve"> составления и ведения сводной бюджетной росписи республиканского бюджета Республики Адыгея и бюджетных росписей главных распорядителей средств (главных</w:t>
      </w:r>
      <w:proofErr w:type="gramEnd"/>
      <w:r w:rsidR="00584B08" w:rsidRPr="003E54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4B08" w:rsidRPr="003E5449">
        <w:rPr>
          <w:rFonts w:eastAsiaTheme="minorHAnsi"/>
          <w:sz w:val="28"/>
          <w:szCs w:val="28"/>
          <w:lang w:eastAsia="en-US"/>
        </w:rPr>
        <w:t>администраторов источников внутреннего финансирования дефицита) республиканского бюджета Республики Адыгея</w:t>
      </w:r>
      <w:r w:rsidR="000655CC">
        <w:rPr>
          <w:rFonts w:eastAsiaTheme="minorHAnsi"/>
          <w:sz w:val="28"/>
          <w:szCs w:val="28"/>
          <w:lang w:eastAsia="en-US"/>
        </w:rPr>
        <w:t>,</w:t>
      </w:r>
      <w:r w:rsidR="00584B08" w:rsidRPr="003E5449">
        <w:rPr>
          <w:rFonts w:eastAsiaTheme="minorHAnsi"/>
          <w:sz w:val="28"/>
          <w:szCs w:val="28"/>
          <w:lang w:eastAsia="en-US"/>
        </w:rPr>
        <w:t xml:space="preserve"> утвержденным приказом Министерства</w:t>
      </w:r>
      <w:r w:rsidR="000655CC">
        <w:rPr>
          <w:rFonts w:eastAsiaTheme="minorHAnsi"/>
          <w:sz w:val="28"/>
          <w:szCs w:val="28"/>
          <w:lang w:eastAsia="en-US"/>
        </w:rPr>
        <w:t xml:space="preserve"> финансов Республики Адыгея </w:t>
      </w:r>
      <w:r w:rsidR="00584B08" w:rsidRPr="003E5449">
        <w:rPr>
          <w:rFonts w:eastAsiaTheme="minorHAnsi"/>
          <w:sz w:val="28"/>
          <w:szCs w:val="28"/>
          <w:lang w:eastAsia="en-US"/>
        </w:rPr>
        <w:t xml:space="preserve"> от 16 декабря 2011</w:t>
      </w:r>
      <w:r w:rsidR="000655CC">
        <w:rPr>
          <w:rFonts w:eastAsiaTheme="minorHAnsi"/>
          <w:sz w:val="28"/>
          <w:szCs w:val="28"/>
          <w:lang w:eastAsia="en-US"/>
        </w:rPr>
        <w:t xml:space="preserve"> года</w:t>
      </w:r>
      <w:r w:rsidR="00584B08" w:rsidRPr="003E5449">
        <w:rPr>
          <w:rFonts w:eastAsiaTheme="minorHAnsi"/>
          <w:sz w:val="28"/>
          <w:szCs w:val="28"/>
          <w:lang w:eastAsia="en-US"/>
        </w:rPr>
        <w:t xml:space="preserve"> </w:t>
      </w:r>
      <w:r w:rsidR="006A104F" w:rsidRPr="003E5449">
        <w:rPr>
          <w:rFonts w:eastAsiaTheme="minorHAnsi"/>
          <w:sz w:val="28"/>
          <w:szCs w:val="28"/>
          <w:lang w:eastAsia="en-US"/>
        </w:rPr>
        <w:t xml:space="preserve">№ </w:t>
      </w:r>
      <w:r w:rsidR="00584B08" w:rsidRPr="003E5449">
        <w:rPr>
          <w:rFonts w:eastAsiaTheme="minorHAnsi"/>
          <w:sz w:val="28"/>
          <w:szCs w:val="28"/>
          <w:lang w:eastAsia="en-US"/>
        </w:rPr>
        <w:t xml:space="preserve">196-А (далее - Порядок </w:t>
      </w:r>
      <w:r w:rsidR="00544592">
        <w:rPr>
          <w:rFonts w:eastAsiaTheme="minorHAnsi"/>
          <w:sz w:val="28"/>
          <w:szCs w:val="28"/>
          <w:lang w:eastAsia="en-US"/>
        </w:rPr>
        <w:t>ведения</w:t>
      </w:r>
      <w:r w:rsidR="00584B08" w:rsidRPr="003E5449">
        <w:rPr>
          <w:rFonts w:eastAsiaTheme="minorHAnsi"/>
          <w:sz w:val="28"/>
          <w:szCs w:val="28"/>
          <w:lang w:eastAsia="en-US"/>
        </w:rPr>
        <w:t xml:space="preserve"> сводной бюджетной росписи) предложения о внесении изменений в сводную бюджетную роспись республиканского бюджета</w:t>
      </w:r>
      <w:r w:rsidR="000258DE" w:rsidRPr="000258DE">
        <w:rPr>
          <w:rFonts w:eastAsiaTheme="minorHAnsi"/>
          <w:sz w:val="28"/>
          <w:szCs w:val="28"/>
          <w:lang w:eastAsia="en-US"/>
        </w:rPr>
        <w:t xml:space="preserve"> </w:t>
      </w:r>
      <w:r w:rsidR="000258DE">
        <w:rPr>
          <w:rFonts w:eastAsiaTheme="minorHAnsi"/>
          <w:sz w:val="28"/>
          <w:szCs w:val="28"/>
          <w:lang w:eastAsia="en-US"/>
        </w:rPr>
        <w:t>Республики Адыгея</w:t>
      </w:r>
      <w:r w:rsidR="00584B08" w:rsidRPr="003E5449">
        <w:rPr>
          <w:rFonts w:eastAsiaTheme="minorHAnsi"/>
          <w:sz w:val="28"/>
          <w:szCs w:val="28"/>
          <w:lang w:eastAsia="en-US"/>
        </w:rPr>
        <w:t xml:space="preserve"> в части увеличения бюджетных ассигнований на предоставление межбюджетных трансфертов бюджетам муниципальных образований в объеме, не превышающем остатка неиспользованных ассигнований отчетного финансового</w:t>
      </w:r>
      <w:proofErr w:type="gramEnd"/>
      <w:r w:rsidR="00584B08" w:rsidRPr="003E544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84B08" w:rsidRPr="003E5449">
        <w:rPr>
          <w:rFonts w:eastAsiaTheme="minorHAnsi"/>
          <w:sz w:val="28"/>
          <w:szCs w:val="28"/>
          <w:lang w:eastAsia="en-US"/>
        </w:rPr>
        <w:t xml:space="preserve">года на указанные цели в размере, не превышающем с учетом уровня </w:t>
      </w:r>
      <w:proofErr w:type="spellStart"/>
      <w:r w:rsidR="00584B08" w:rsidRPr="003E544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="00584B08" w:rsidRPr="003E5449">
        <w:rPr>
          <w:rFonts w:eastAsiaTheme="minorHAnsi"/>
          <w:sz w:val="28"/>
          <w:szCs w:val="28"/>
          <w:lang w:eastAsia="en-US"/>
        </w:rPr>
        <w:t xml:space="preserve"> остатка не использованных на начало текущего финансового года бюджетных ассигнований местного бюджета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и Информацию о муниципальных контрактах.</w:t>
      </w:r>
      <w:proofErr w:type="gramEnd"/>
    </w:p>
    <w:p w:rsidR="000D46A9" w:rsidRPr="003E5449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В случае наличия замечаний и предложений на предмет полноты и обоснованности данных, содержащихся в Информации о муниципальных </w:t>
      </w:r>
      <w:r w:rsidRPr="003E5449">
        <w:rPr>
          <w:rFonts w:eastAsiaTheme="minorHAnsi"/>
          <w:sz w:val="28"/>
          <w:szCs w:val="28"/>
          <w:lang w:eastAsia="en-US"/>
        </w:rPr>
        <w:lastRenderedPageBreak/>
        <w:t xml:space="preserve">контрактах, главный распорядитель средств </w:t>
      </w:r>
      <w:r w:rsidR="00DA663B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0258DE" w:rsidRPr="000258DE">
        <w:rPr>
          <w:rFonts w:eastAsiaTheme="minorHAnsi"/>
          <w:sz w:val="28"/>
          <w:szCs w:val="28"/>
          <w:lang w:eastAsia="en-US"/>
        </w:rPr>
        <w:t xml:space="preserve"> </w:t>
      </w:r>
      <w:r w:rsidR="000258DE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направляет в финансовый орган муниципального образования уведомление об отклонении Информации о муниципальных контрактах с указанием причины отклонения.</w:t>
      </w:r>
    </w:p>
    <w:p w:rsidR="000D46A9" w:rsidRPr="003E5449" w:rsidRDefault="000D46A9" w:rsidP="007075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="00BE73C0" w:rsidRPr="003E5449">
        <w:rPr>
          <w:rFonts w:eastAsiaTheme="minorHAnsi"/>
          <w:sz w:val="28"/>
          <w:szCs w:val="28"/>
          <w:lang w:eastAsia="en-US"/>
        </w:rPr>
        <w:t>Министерство</w:t>
      </w:r>
      <w:r w:rsidRPr="003E5449">
        <w:rPr>
          <w:rFonts w:eastAsiaTheme="minorHAnsi"/>
          <w:sz w:val="28"/>
          <w:szCs w:val="28"/>
          <w:lang w:eastAsia="en-US"/>
        </w:rPr>
        <w:t xml:space="preserve"> в течение 5 рабочих дней рассматривает представленную главным распорядителем средств </w:t>
      </w:r>
      <w:r w:rsidR="00BE73C0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0258DE" w:rsidRPr="000258DE">
        <w:rPr>
          <w:rFonts w:eastAsiaTheme="minorHAnsi"/>
          <w:sz w:val="28"/>
          <w:szCs w:val="28"/>
          <w:lang w:eastAsia="en-US"/>
        </w:rPr>
        <w:t xml:space="preserve"> </w:t>
      </w:r>
      <w:r w:rsidR="000258DE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Информацию о муниципальных контрактах и предложения, указанные в </w:t>
      </w:r>
      <w:hyperlink w:anchor="Par27" w:history="1">
        <w:r w:rsidRPr="003E5449">
          <w:rPr>
            <w:rFonts w:eastAsiaTheme="minorHAnsi"/>
            <w:sz w:val="28"/>
            <w:szCs w:val="28"/>
            <w:lang w:eastAsia="en-US"/>
          </w:rPr>
          <w:t>пункте 5</w:t>
        </w:r>
      </w:hyperlink>
      <w:r w:rsidRPr="003E5449">
        <w:rPr>
          <w:rFonts w:eastAsiaTheme="minorHAnsi"/>
          <w:sz w:val="28"/>
          <w:szCs w:val="28"/>
          <w:lang w:eastAsia="en-US"/>
        </w:rPr>
        <w:t xml:space="preserve"> настоящего Порядка, и в соответствии с Порядком </w:t>
      </w:r>
      <w:r w:rsidR="001B228E">
        <w:rPr>
          <w:rFonts w:eastAsiaTheme="minorHAnsi"/>
          <w:sz w:val="28"/>
          <w:szCs w:val="28"/>
          <w:lang w:eastAsia="en-US"/>
        </w:rPr>
        <w:t>ведения</w:t>
      </w:r>
      <w:r w:rsidRPr="003E5449">
        <w:rPr>
          <w:rFonts w:eastAsiaTheme="minorHAnsi"/>
          <w:sz w:val="28"/>
          <w:szCs w:val="28"/>
          <w:lang w:eastAsia="en-US"/>
        </w:rPr>
        <w:t xml:space="preserve"> сводной бюджетной росписи вносит изменения в сводную бюджетную роспись </w:t>
      </w:r>
      <w:r w:rsidR="00BE73C0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0258DE" w:rsidRPr="000258DE">
        <w:rPr>
          <w:rFonts w:eastAsiaTheme="minorHAnsi"/>
          <w:sz w:val="28"/>
          <w:szCs w:val="28"/>
          <w:lang w:eastAsia="en-US"/>
        </w:rPr>
        <w:t xml:space="preserve"> </w:t>
      </w:r>
      <w:r w:rsidR="000258DE">
        <w:rPr>
          <w:rFonts w:eastAsiaTheme="minorHAnsi"/>
          <w:sz w:val="28"/>
          <w:szCs w:val="28"/>
          <w:lang w:eastAsia="en-US"/>
        </w:rPr>
        <w:t>Республики Адыгея</w:t>
      </w:r>
      <w:r w:rsidRPr="003E5449">
        <w:rPr>
          <w:rFonts w:eastAsiaTheme="minorHAnsi"/>
          <w:sz w:val="28"/>
          <w:szCs w:val="28"/>
          <w:lang w:eastAsia="en-US"/>
        </w:rPr>
        <w:t xml:space="preserve"> в части увеличения бюджетных ассигнований на предоставление межбюджетных трансфертов бюджетам муниципальных образований в объеме</w:t>
      </w:r>
      <w:proofErr w:type="gramEnd"/>
      <w:r w:rsidRPr="003E544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3E5449">
        <w:rPr>
          <w:rFonts w:eastAsiaTheme="minorHAnsi"/>
          <w:sz w:val="28"/>
          <w:szCs w:val="28"/>
          <w:lang w:eastAsia="en-US"/>
        </w:rPr>
        <w:t xml:space="preserve">не превышающем остатка неиспользованных ассигнований отчетного финансового года на указанные цели в размере, не превышающем с учетом уровня </w:t>
      </w:r>
      <w:proofErr w:type="spellStart"/>
      <w:r w:rsidRPr="003E544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E5449">
        <w:rPr>
          <w:rFonts w:eastAsiaTheme="minorHAnsi"/>
          <w:sz w:val="28"/>
          <w:szCs w:val="28"/>
          <w:lang w:eastAsia="en-US"/>
        </w:rPr>
        <w:t xml:space="preserve"> остатка не использованных на начало текущего финансового года бюджетных ассигнований местного бюджета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  <w:proofErr w:type="gramEnd"/>
    </w:p>
    <w:p w:rsidR="000D46A9" w:rsidRPr="003E5449" w:rsidRDefault="000D46A9" w:rsidP="000D46A9">
      <w:pPr>
        <w:pStyle w:val="Oaeno"/>
        <w:jc w:val="both"/>
        <w:rPr>
          <w:rFonts w:ascii="Times New Roman" w:hAnsi="Times New Roman"/>
        </w:rPr>
      </w:pPr>
    </w:p>
    <w:p w:rsidR="009C3B6D" w:rsidRPr="003E5449" w:rsidRDefault="009C3B6D" w:rsidP="000D46A9">
      <w:pPr>
        <w:pStyle w:val="Oaeno"/>
        <w:jc w:val="both"/>
        <w:rPr>
          <w:rFonts w:ascii="Times New Roman" w:hAnsi="Times New Roman"/>
        </w:rPr>
      </w:pPr>
    </w:p>
    <w:p w:rsidR="009C3B6D" w:rsidRDefault="009C3B6D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422E78" w:rsidRDefault="00422E78" w:rsidP="000D46A9">
      <w:pPr>
        <w:pStyle w:val="Oaeno"/>
        <w:jc w:val="both"/>
        <w:rPr>
          <w:rFonts w:ascii="Times New Roman" w:hAnsi="Times New Roman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863EE" w:rsidRDefault="007863EE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C3B6D" w:rsidRPr="003E5449" w:rsidRDefault="009C3B6D" w:rsidP="009C3B6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9C3B6D" w:rsidRPr="003E5449" w:rsidRDefault="009C3B6D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к Порядку</w:t>
      </w:r>
      <w:r w:rsidR="00C23333" w:rsidRPr="003E5449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>направления остатков средств</w:t>
      </w:r>
    </w:p>
    <w:p w:rsidR="0049529C" w:rsidRDefault="00C23333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="009C3B6D" w:rsidRPr="003E5449">
        <w:rPr>
          <w:rFonts w:eastAsiaTheme="minorHAnsi"/>
          <w:sz w:val="28"/>
          <w:szCs w:val="28"/>
          <w:lang w:eastAsia="en-US"/>
        </w:rPr>
        <w:t xml:space="preserve"> бюджета</w:t>
      </w:r>
      <w:r w:rsidR="00F12B76" w:rsidRPr="00F12B76">
        <w:rPr>
          <w:rFonts w:eastAsiaTheme="minorHAnsi"/>
          <w:sz w:val="28"/>
          <w:szCs w:val="28"/>
          <w:lang w:eastAsia="en-US"/>
        </w:rPr>
        <w:t xml:space="preserve"> </w:t>
      </w:r>
      <w:r w:rsidR="00F12B76">
        <w:rPr>
          <w:rFonts w:eastAsiaTheme="minorHAnsi"/>
          <w:sz w:val="28"/>
          <w:szCs w:val="28"/>
          <w:lang w:eastAsia="en-US"/>
        </w:rPr>
        <w:t>Республики Адыгея</w:t>
      </w:r>
      <w:r w:rsidR="0049529C">
        <w:rPr>
          <w:rFonts w:eastAsiaTheme="minorHAnsi"/>
          <w:sz w:val="28"/>
          <w:szCs w:val="28"/>
          <w:lang w:eastAsia="en-US"/>
        </w:rPr>
        <w:t xml:space="preserve"> </w:t>
      </w:r>
    </w:p>
    <w:p w:rsidR="0049529C" w:rsidRDefault="0049529C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927">
        <w:rPr>
          <w:rFonts w:eastAsiaTheme="minorHAnsi"/>
          <w:sz w:val="28"/>
          <w:szCs w:val="28"/>
          <w:lang w:eastAsia="en-US"/>
        </w:rPr>
        <w:t>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3927">
        <w:rPr>
          <w:rFonts w:eastAsiaTheme="minorHAnsi"/>
          <w:sz w:val="28"/>
          <w:szCs w:val="28"/>
          <w:lang w:eastAsia="en-US"/>
        </w:rPr>
        <w:t>остатков средств межбюджетных</w:t>
      </w:r>
    </w:p>
    <w:p w:rsidR="0049529C" w:rsidRDefault="0049529C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927">
        <w:rPr>
          <w:rFonts w:eastAsiaTheme="minorHAnsi"/>
          <w:sz w:val="28"/>
          <w:szCs w:val="28"/>
          <w:lang w:eastAsia="en-US"/>
        </w:rPr>
        <w:t xml:space="preserve"> трансфертов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3927">
        <w:rPr>
          <w:rFonts w:eastAsiaTheme="minorHAnsi"/>
          <w:sz w:val="28"/>
          <w:szCs w:val="28"/>
          <w:lang w:eastAsia="en-US"/>
        </w:rPr>
        <w:t>предоставляемых</w:t>
      </w:r>
      <w:r w:rsidR="002E0A8D">
        <w:rPr>
          <w:rFonts w:eastAsiaTheme="minorHAnsi"/>
          <w:sz w:val="28"/>
          <w:szCs w:val="28"/>
          <w:lang w:eastAsia="en-US"/>
        </w:rPr>
        <w:t>,</w:t>
      </w:r>
      <w:r w:rsidRPr="00273927">
        <w:rPr>
          <w:rFonts w:eastAsiaTheme="minorHAnsi"/>
          <w:sz w:val="28"/>
          <w:szCs w:val="28"/>
          <w:lang w:eastAsia="en-US"/>
        </w:rPr>
        <w:t xml:space="preserve">  из </w:t>
      </w:r>
      <w:proofErr w:type="gramStart"/>
      <w:r w:rsidR="002E0A8D">
        <w:rPr>
          <w:rFonts w:eastAsiaTheme="minorHAnsi"/>
          <w:sz w:val="28"/>
          <w:szCs w:val="28"/>
          <w:lang w:eastAsia="en-US"/>
        </w:rPr>
        <w:t>ф</w:t>
      </w:r>
      <w:r w:rsidRPr="00273927">
        <w:rPr>
          <w:rFonts w:eastAsiaTheme="minorHAnsi"/>
          <w:sz w:val="28"/>
          <w:szCs w:val="28"/>
          <w:lang w:eastAsia="en-US"/>
        </w:rPr>
        <w:t>едерального</w:t>
      </w:r>
      <w:proofErr w:type="gramEnd"/>
      <w:r w:rsidRPr="00273927">
        <w:rPr>
          <w:rFonts w:eastAsiaTheme="minorHAnsi"/>
          <w:sz w:val="28"/>
          <w:szCs w:val="28"/>
          <w:lang w:eastAsia="en-US"/>
        </w:rPr>
        <w:t xml:space="preserve"> </w:t>
      </w:r>
    </w:p>
    <w:p w:rsidR="0049529C" w:rsidRDefault="0049529C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927">
        <w:rPr>
          <w:rFonts w:eastAsiaTheme="minorHAnsi"/>
          <w:sz w:val="28"/>
          <w:szCs w:val="28"/>
          <w:lang w:eastAsia="en-US"/>
        </w:rPr>
        <w:t>бюджета)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3B6D" w:rsidRPr="003E5449">
        <w:rPr>
          <w:rFonts w:eastAsiaTheme="minorHAnsi"/>
          <w:sz w:val="28"/>
          <w:szCs w:val="28"/>
          <w:lang w:eastAsia="en-US"/>
        </w:rPr>
        <w:t xml:space="preserve"> на начало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C3B6D" w:rsidRPr="003E5449">
        <w:rPr>
          <w:rFonts w:eastAsiaTheme="minorHAnsi"/>
          <w:sz w:val="28"/>
          <w:szCs w:val="28"/>
          <w:lang w:eastAsia="en-US"/>
        </w:rPr>
        <w:t>текущего финансового года</w:t>
      </w:r>
    </w:p>
    <w:p w:rsidR="0073642E" w:rsidRDefault="009C3B6D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 в объеме,</w:t>
      </w:r>
      <w:r w:rsidR="0073642E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 xml:space="preserve">не превышающем сумму остатка </w:t>
      </w:r>
    </w:p>
    <w:p w:rsidR="0073642E" w:rsidRDefault="009C3B6D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неиспользованных</w:t>
      </w:r>
      <w:r w:rsidR="0073642E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>бюджетных ассигнований</w:t>
      </w:r>
    </w:p>
    <w:p w:rsidR="00DE4919" w:rsidRPr="00893530" w:rsidRDefault="009C3B6D" w:rsidP="00DE4919">
      <w:pPr>
        <w:autoSpaceDE w:val="0"/>
        <w:autoSpaceDN w:val="0"/>
        <w:adjustRightInd w:val="0"/>
        <w:ind w:firstLine="1843"/>
        <w:jc w:val="right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 </w:t>
      </w:r>
      <w:r w:rsidR="00E54355">
        <w:rPr>
          <w:rFonts w:eastAsiaTheme="minorHAnsi"/>
          <w:sz w:val="28"/>
          <w:szCs w:val="28"/>
          <w:lang w:eastAsia="en-US"/>
        </w:rPr>
        <w:t xml:space="preserve">          </w:t>
      </w:r>
      <w:r w:rsidRPr="00893530">
        <w:rPr>
          <w:rFonts w:eastAsiaTheme="minorHAnsi"/>
          <w:sz w:val="28"/>
          <w:szCs w:val="28"/>
          <w:lang w:eastAsia="en-US"/>
        </w:rPr>
        <w:t>на предоставление</w:t>
      </w:r>
      <w:r w:rsidR="0073642E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 xml:space="preserve">из </w:t>
      </w:r>
      <w:r w:rsidR="00C23333" w:rsidRPr="00893530">
        <w:rPr>
          <w:rFonts w:eastAsiaTheme="minorHAnsi"/>
          <w:sz w:val="28"/>
          <w:szCs w:val="28"/>
          <w:lang w:eastAsia="en-US"/>
        </w:rPr>
        <w:t>республиканского</w:t>
      </w:r>
      <w:r w:rsidRPr="00893530">
        <w:rPr>
          <w:rFonts w:eastAsiaTheme="minorHAnsi"/>
          <w:sz w:val="28"/>
          <w:szCs w:val="28"/>
          <w:lang w:eastAsia="en-US"/>
        </w:rPr>
        <w:t xml:space="preserve"> бюджета</w:t>
      </w:r>
      <w:r w:rsidR="00CA52BE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="00E54355" w:rsidRPr="00893530">
        <w:rPr>
          <w:rFonts w:eastAsiaTheme="minorHAnsi"/>
          <w:sz w:val="28"/>
          <w:szCs w:val="28"/>
          <w:lang w:eastAsia="en-US"/>
        </w:rPr>
        <w:t xml:space="preserve">Республики Адыгея </w:t>
      </w:r>
      <w:r w:rsidRPr="00893530">
        <w:rPr>
          <w:rFonts w:eastAsiaTheme="minorHAnsi"/>
          <w:sz w:val="28"/>
          <w:szCs w:val="28"/>
          <w:lang w:eastAsia="en-US"/>
        </w:rPr>
        <w:t>местным бюджетам</w:t>
      </w:r>
      <w:r w:rsidR="00DE4919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субвенций</w:t>
      </w:r>
      <w:r w:rsidR="0096109C" w:rsidRPr="00893530">
        <w:rPr>
          <w:rFonts w:eastAsiaTheme="minorHAnsi"/>
          <w:sz w:val="28"/>
          <w:szCs w:val="28"/>
          <w:lang w:eastAsia="en-US"/>
        </w:rPr>
        <w:t>,</w:t>
      </w:r>
    </w:p>
    <w:p w:rsidR="00DE4919" w:rsidRPr="00893530" w:rsidRDefault="0096109C" w:rsidP="00DE4919">
      <w:pPr>
        <w:autoSpaceDE w:val="0"/>
        <w:autoSpaceDN w:val="0"/>
        <w:adjustRightInd w:val="0"/>
        <w:ind w:firstLine="1843"/>
        <w:jc w:val="right"/>
        <w:rPr>
          <w:rFonts w:eastAsiaTheme="minorHAnsi"/>
          <w:sz w:val="28"/>
          <w:szCs w:val="28"/>
          <w:lang w:eastAsia="en-US"/>
        </w:rPr>
      </w:pPr>
      <w:r w:rsidRPr="00893530">
        <w:rPr>
          <w:rFonts w:eastAsiaTheme="minorHAnsi"/>
          <w:sz w:val="28"/>
          <w:szCs w:val="28"/>
          <w:lang w:eastAsia="en-US"/>
        </w:rPr>
        <w:t>субсидий</w:t>
      </w:r>
      <w:r w:rsidR="009C3B6D" w:rsidRPr="00893530">
        <w:rPr>
          <w:rFonts w:eastAsiaTheme="minorHAnsi"/>
          <w:sz w:val="28"/>
          <w:szCs w:val="28"/>
          <w:lang w:eastAsia="en-US"/>
        </w:rPr>
        <w:t xml:space="preserve"> и ины</w:t>
      </w:r>
      <w:r w:rsidR="00E54355" w:rsidRPr="00893530">
        <w:rPr>
          <w:rFonts w:eastAsiaTheme="minorHAnsi"/>
          <w:sz w:val="28"/>
          <w:szCs w:val="28"/>
          <w:lang w:eastAsia="en-US"/>
        </w:rPr>
        <w:t>х</w:t>
      </w:r>
      <w:r w:rsidR="00DE4919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="009C3B6D" w:rsidRPr="00893530">
        <w:rPr>
          <w:rFonts w:eastAsiaTheme="minorHAnsi"/>
          <w:sz w:val="28"/>
          <w:szCs w:val="28"/>
          <w:lang w:eastAsia="en-US"/>
        </w:rPr>
        <w:t>межбюджетных</w:t>
      </w:r>
      <w:r w:rsidR="0073642E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="009C3B6D" w:rsidRPr="00893530">
        <w:rPr>
          <w:rFonts w:eastAsiaTheme="minorHAnsi"/>
          <w:sz w:val="28"/>
          <w:szCs w:val="28"/>
          <w:lang w:eastAsia="en-US"/>
        </w:rPr>
        <w:t>трансфертов,</w:t>
      </w:r>
    </w:p>
    <w:p w:rsidR="00DE4919" w:rsidRPr="00893530" w:rsidRDefault="009C3B6D" w:rsidP="00DE4919">
      <w:pPr>
        <w:autoSpaceDE w:val="0"/>
        <w:autoSpaceDN w:val="0"/>
        <w:adjustRightInd w:val="0"/>
        <w:ind w:firstLine="1843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893530">
        <w:rPr>
          <w:rFonts w:eastAsiaTheme="minorHAnsi"/>
          <w:sz w:val="28"/>
          <w:szCs w:val="28"/>
          <w:lang w:eastAsia="en-US"/>
        </w:rPr>
        <w:t>имеющих</w:t>
      </w:r>
      <w:proofErr w:type="gramEnd"/>
      <w:r w:rsidRPr="00893530">
        <w:rPr>
          <w:rFonts w:eastAsiaTheme="minorHAnsi"/>
          <w:sz w:val="28"/>
          <w:szCs w:val="28"/>
          <w:lang w:eastAsia="en-US"/>
        </w:rPr>
        <w:t xml:space="preserve"> целевое</w:t>
      </w:r>
      <w:r w:rsidR="00DE4919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назначение,</w:t>
      </w:r>
      <w:r w:rsidR="0073642E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предоставление</w:t>
      </w:r>
    </w:p>
    <w:p w:rsidR="00DE4919" w:rsidRPr="00893530" w:rsidRDefault="009C3B6D" w:rsidP="00DE4919">
      <w:pPr>
        <w:autoSpaceDE w:val="0"/>
        <w:autoSpaceDN w:val="0"/>
        <w:adjustRightInd w:val="0"/>
        <w:ind w:firstLine="1843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893530">
        <w:rPr>
          <w:rFonts w:eastAsiaTheme="minorHAnsi"/>
          <w:sz w:val="28"/>
          <w:szCs w:val="28"/>
          <w:lang w:eastAsia="en-US"/>
        </w:rPr>
        <w:t>которых</w:t>
      </w:r>
      <w:proofErr w:type="gramEnd"/>
      <w:r w:rsidRPr="00893530">
        <w:rPr>
          <w:rFonts w:eastAsiaTheme="minorHAnsi"/>
          <w:sz w:val="28"/>
          <w:szCs w:val="28"/>
          <w:lang w:eastAsia="en-US"/>
        </w:rPr>
        <w:t xml:space="preserve"> в отчетном финансовом году</w:t>
      </w:r>
      <w:r w:rsidR="00DE4919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осуществлялось</w:t>
      </w:r>
    </w:p>
    <w:p w:rsidR="00DE4919" w:rsidRPr="00893530" w:rsidRDefault="009C3B6D" w:rsidP="00DE4919">
      <w:pPr>
        <w:autoSpaceDE w:val="0"/>
        <w:autoSpaceDN w:val="0"/>
        <w:adjustRightInd w:val="0"/>
        <w:ind w:firstLine="1843"/>
        <w:jc w:val="right"/>
        <w:rPr>
          <w:rFonts w:eastAsiaTheme="minorHAnsi"/>
          <w:sz w:val="28"/>
          <w:szCs w:val="28"/>
          <w:lang w:eastAsia="en-US"/>
        </w:rPr>
      </w:pPr>
      <w:r w:rsidRPr="00893530">
        <w:rPr>
          <w:rFonts w:eastAsiaTheme="minorHAnsi"/>
          <w:sz w:val="28"/>
          <w:szCs w:val="28"/>
          <w:lang w:eastAsia="en-US"/>
        </w:rPr>
        <w:t>в пределах суммы,</w:t>
      </w:r>
      <w:r w:rsidR="00DE4919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необходимой</w:t>
      </w:r>
      <w:r w:rsidR="00C23333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для оплаты денежных обязательств</w:t>
      </w:r>
      <w:r w:rsidR="00DE4919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получателей средств</w:t>
      </w:r>
      <w:r w:rsidR="00C23333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местного бюджета,</w:t>
      </w:r>
    </w:p>
    <w:p w:rsidR="00C23333" w:rsidRPr="00893530" w:rsidRDefault="009C3B6D" w:rsidP="00DE4919">
      <w:pPr>
        <w:autoSpaceDE w:val="0"/>
        <w:autoSpaceDN w:val="0"/>
        <w:adjustRightInd w:val="0"/>
        <w:ind w:firstLine="1843"/>
        <w:jc w:val="right"/>
        <w:rPr>
          <w:rFonts w:eastAsiaTheme="minorHAnsi"/>
          <w:sz w:val="28"/>
          <w:szCs w:val="28"/>
          <w:lang w:eastAsia="en-US"/>
        </w:rPr>
      </w:pPr>
      <w:r w:rsidRPr="00893530">
        <w:rPr>
          <w:rFonts w:eastAsiaTheme="minorHAnsi"/>
          <w:sz w:val="28"/>
          <w:szCs w:val="28"/>
          <w:lang w:eastAsia="en-US"/>
        </w:rPr>
        <w:t xml:space="preserve">источником финансового </w:t>
      </w:r>
      <w:proofErr w:type="gramStart"/>
      <w:r w:rsidRPr="00893530"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 w:rsidR="00C23333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которых являлись</w:t>
      </w:r>
    </w:p>
    <w:p w:rsidR="00C23333" w:rsidRPr="00893530" w:rsidRDefault="009C3B6D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3530">
        <w:rPr>
          <w:rFonts w:eastAsiaTheme="minorHAnsi"/>
          <w:sz w:val="28"/>
          <w:szCs w:val="28"/>
          <w:lang w:eastAsia="en-US"/>
        </w:rPr>
        <w:t xml:space="preserve"> указанные</w:t>
      </w:r>
      <w:r w:rsidR="00C23333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межбюджетные трансферты</w:t>
      </w:r>
      <w:r w:rsidR="00C23333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Pr="00893530">
        <w:rPr>
          <w:rFonts w:eastAsiaTheme="minorHAnsi"/>
          <w:sz w:val="28"/>
          <w:szCs w:val="28"/>
          <w:lang w:eastAsia="en-US"/>
        </w:rPr>
        <w:t>на увеличение</w:t>
      </w:r>
    </w:p>
    <w:p w:rsidR="00C23333" w:rsidRPr="00893530" w:rsidRDefault="00C23333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3530">
        <w:rPr>
          <w:rFonts w:eastAsiaTheme="minorHAnsi"/>
          <w:sz w:val="28"/>
          <w:szCs w:val="28"/>
          <w:lang w:eastAsia="en-US"/>
        </w:rPr>
        <w:t xml:space="preserve"> </w:t>
      </w:r>
      <w:r w:rsidR="009C3B6D" w:rsidRPr="00893530">
        <w:rPr>
          <w:rFonts w:eastAsiaTheme="minorHAnsi"/>
          <w:sz w:val="28"/>
          <w:szCs w:val="28"/>
          <w:lang w:eastAsia="en-US"/>
        </w:rPr>
        <w:t>бюджетных ассигнований</w:t>
      </w:r>
      <w:r w:rsidR="00D62FCD" w:rsidRPr="00893530">
        <w:rPr>
          <w:rFonts w:eastAsiaTheme="minorHAnsi"/>
          <w:sz w:val="28"/>
          <w:szCs w:val="28"/>
          <w:lang w:eastAsia="en-US"/>
        </w:rPr>
        <w:t xml:space="preserve"> </w:t>
      </w:r>
      <w:r w:rsidR="009C3B6D" w:rsidRPr="00893530">
        <w:rPr>
          <w:rFonts w:eastAsiaTheme="minorHAnsi"/>
          <w:sz w:val="28"/>
          <w:szCs w:val="28"/>
          <w:lang w:eastAsia="en-US"/>
        </w:rPr>
        <w:t xml:space="preserve">на предоставление </w:t>
      </w:r>
    </w:p>
    <w:p w:rsidR="009C3B6D" w:rsidRPr="003E5449" w:rsidRDefault="009C3B6D" w:rsidP="009C3B6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93530">
        <w:rPr>
          <w:rFonts w:eastAsiaTheme="minorHAnsi"/>
          <w:sz w:val="28"/>
          <w:szCs w:val="28"/>
          <w:lang w:eastAsia="en-US"/>
        </w:rPr>
        <w:t>указанных межбюджетных трансфертов</w:t>
      </w:r>
    </w:p>
    <w:p w:rsidR="009C3B6D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43560" w:rsidRDefault="00B43560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0A26" w:rsidRPr="003E5449" w:rsidRDefault="00330A26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ИНФОРМАЦИЯ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о не использованных на начало текущего финансового года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бюджетных ассигнованиях местного бюджета на оплату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муниципальных контрактов, заключенных от имени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муниципального образования, на поставку товаров, выполнение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работ, оказание услуг, подлежавших в соответствии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с условиями этих муниципальных контрактов оплате в очередном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финансовом году, источником финансового обеспечения которых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являлись </w:t>
      </w:r>
      <w:r w:rsidR="00F16E29" w:rsidRPr="003E5449">
        <w:rPr>
          <w:rFonts w:eastAsiaTheme="minorHAnsi"/>
          <w:sz w:val="28"/>
          <w:szCs w:val="28"/>
          <w:lang w:eastAsia="en-US"/>
        </w:rPr>
        <w:t>субвенции</w:t>
      </w:r>
      <w:r w:rsidR="00F16E29">
        <w:rPr>
          <w:rFonts w:eastAsiaTheme="minorHAnsi"/>
          <w:sz w:val="28"/>
          <w:szCs w:val="28"/>
          <w:lang w:eastAsia="en-US"/>
        </w:rPr>
        <w:t xml:space="preserve">, </w:t>
      </w:r>
      <w:r w:rsidRPr="003E5449">
        <w:rPr>
          <w:rFonts w:eastAsiaTheme="minorHAnsi"/>
          <w:sz w:val="28"/>
          <w:szCs w:val="28"/>
          <w:lang w:eastAsia="en-US"/>
        </w:rPr>
        <w:t>субсидии и иные межбюджетные трансферты,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3E5449">
        <w:rPr>
          <w:rFonts w:eastAsiaTheme="minorHAnsi"/>
          <w:sz w:val="28"/>
          <w:szCs w:val="28"/>
          <w:lang w:eastAsia="en-US"/>
        </w:rPr>
        <w:t xml:space="preserve">предоставленные из </w:t>
      </w:r>
      <w:r w:rsidR="007C7D67" w:rsidRPr="003E5449">
        <w:rPr>
          <w:rFonts w:eastAsiaTheme="minorHAnsi"/>
          <w:sz w:val="28"/>
          <w:szCs w:val="28"/>
          <w:lang w:eastAsia="en-US"/>
        </w:rPr>
        <w:t>республиканского</w:t>
      </w:r>
      <w:r w:rsidRPr="003E5449">
        <w:rPr>
          <w:rFonts w:eastAsiaTheme="minorHAnsi"/>
          <w:sz w:val="28"/>
          <w:szCs w:val="28"/>
          <w:lang w:eastAsia="en-US"/>
        </w:rPr>
        <w:t xml:space="preserve"> бюджета </w:t>
      </w:r>
      <w:r w:rsidR="00442445">
        <w:rPr>
          <w:rFonts w:eastAsiaTheme="minorHAnsi"/>
          <w:sz w:val="28"/>
          <w:szCs w:val="28"/>
          <w:lang w:eastAsia="en-US"/>
        </w:rPr>
        <w:t>Республики Адыгея</w:t>
      </w:r>
      <w:r w:rsidR="00974A23">
        <w:rPr>
          <w:rFonts w:eastAsiaTheme="minorHAnsi"/>
          <w:sz w:val="28"/>
          <w:szCs w:val="28"/>
          <w:lang w:eastAsia="en-US"/>
        </w:rPr>
        <w:t xml:space="preserve"> </w:t>
      </w:r>
      <w:r w:rsidR="00974A23" w:rsidRPr="00273927">
        <w:rPr>
          <w:rFonts w:eastAsiaTheme="minorHAnsi"/>
          <w:sz w:val="28"/>
          <w:szCs w:val="28"/>
          <w:lang w:eastAsia="en-US"/>
        </w:rPr>
        <w:t>(за исключением</w:t>
      </w:r>
      <w:r w:rsidR="00974A23">
        <w:rPr>
          <w:rFonts w:eastAsiaTheme="minorHAnsi"/>
          <w:sz w:val="28"/>
          <w:szCs w:val="28"/>
          <w:lang w:eastAsia="en-US"/>
        </w:rPr>
        <w:t xml:space="preserve"> </w:t>
      </w:r>
      <w:r w:rsidR="00974A23" w:rsidRPr="00273927">
        <w:rPr>
          <w:rFonts w:eastAsiaTheme="minorHAnsi"/>
          <w:sz w:val="28"/>
          <w:szCs w:val="28"/>
          <w:lang w:eastAsia="en-US"/>
        </w:rPr>
        <w:t>остатков средств межбюджетных трансфертов</w:t>
      </w:r>
      <w:r w:rsidR="00974A23">
        <w:rPr>
          <w:rFonts w:eastAsiaTheme="minorHAnsi"/>
          <w:sz w:val="28"/>
          <w:szCs w:val="28"/>
          <w:lang w:eastAsia="en-US"/>
        </w:rPr>
        <w:t xml:space="preserve">,  </w:t>
      </w:r>
      <w:r w:rsidR="00974A23" w:rsidRPr="00273927">
        <w:rPr>
          <w:rFonts w:eastAsiaTheme="minorHAnsi"/>
          <w:sz w:val="28"/>
          <w:szCs w:val="28"/>
          <w:lang w:eastAsia="en-US"/>
        </w:rPr>
        <w:t xml:space="preserve">предоставляемых  из </w:t>
      </w:r>
      <w:r w:rsidR="00974A23">
        <w:rPr>
          <w:rFonts w:eastAsiaTheme="minorHAnsi"/>
          <w:sz w:val="28"/>
          <w:szCs w:val="28"/>
          <w:lang w:eastAsia="en-US"/>
        </w:rPr>
        <w:t>ф</w:t>
      </w:r>
      <w:r w:rsidR="00974A23" w:rsidRPr="00273927">
        <w:rPr>
          <w:rFonts w:eastAsiaTheme="minorHAnsi"/>
          <w:sz w:val="28"/>
          <w:szCs w:val="28"/>
          <w:lang w:eastAsia="en-US"/>
        </w:rPr>
        <w:t>едерального бюджета)</w:t>
      </w:r>
      <w:r w:rsidR="00442445" w:rsidRPr="003E5449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>бюджету муниципального</w:t>
      </w:r>
      <w:r w:rsidR="007D5694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>образования</w:t>
      </w:r>
      <w:r w:rsidR="00974A23">
        <w:rPr>
          <w:rFonts w:eastAsiaTheme="minorHAnsi"/>
          <w:sz w:val="28"/>
          <w:szCs w:val="28"/>
          <w:lang w:eastAsia="en-US"/>
        </w:rPr>
        <w:t xml:space="preserve"> </w:t>
      </w:r>
      <w:r w:rsidRPr="003E5449">
        <w:rPr>
          <w:rFonts w:eastAsiaTheme="minorHAnsi"/>
          <w:sz w:val="28"/>
          <w:szCs w:val="28"/>
          <w:lang w:eastAsia="en-US"/>
        </w:rPr>
        <w:t xml:space="preserve"> в целях </w:t>
      </w:r>
      <w:proofErr w:type="spellStart"/>
      <w:r w:rsidRPr="003E5449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3E5449">
        <w:rPr>
          <w:rFonts w:eastAsiaTheme="minorHAnsi"/>
          <w:sz w:val="28"/>
          <w:szCs w:val="28"/>
          <w:lang w:eastAsia="en-US"/>
        </w:rPr>
        <w:t xml:space="preserve"> (финансового</w:t>
      </w:r>
      <w:proofErr w:type="gramEnd"/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обеспечения) исполнения расходных обязательств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>муниципального образования,</w:t>
      </w:r>
    </w:p>
    <w:p w:rsidR="009C3B6D" w:rsidRPr="003E5449" w:rsidRDefault="009C3B6D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E5449">
        <w:rPr>
          <w:rFonts w:eastAsiaTheme="minorHAnsi"/>
          <w:sz w:val="28"/>
          <w:szCs w:val="28"/>
          <w:lang w:eastAsia="en-US"/>
        </w:rPr>
        <w:t xml:space="preserve">на </w:t>
      </w:r>
      <w:r w:rsidR="007C7D67" w:rsidRPr="003E5449">
        <w:rPr>
          <w:rFonts w:eastAsiaTheme="minorHAnsi"/>
          <w:sz w:val="28"/>
          <w:szCs w:val="28"/>
          <w:lang w:eastAsia="en-US"/>
        </w:rPr>
        <w:t>«</w:t>
      </w:r>
      <w:r w:rsidRPr="003E5449">
        <w:rPr>
          <w:rFonts w:eastAsiaTheme="minorHAnsi"/>
          <w:sz w:val="28"/>
          <w:szCs w:val="28"/>
          <w:lang w:eastAsia="en-US"/>
        </w:rPr>
        <w:t>___</w:t>
      </w:r>
      <w:r w:rsidR="007C7D67" w:rsidRPr="003E5449">
        <w:rPr>
          <w:rFonts w:eastAsiaTheme="minorHAnsi"/>
          <w:sz w:val="28"/>
          <w:szCs w:val="28"/>
          <w:lang w:eastAsia="en-US"/>
        </w:rPr>
        <w:t>»</w:t>
      </w:r>
      <w:r w:rsidRPr="003E5449">
        <w:rPr>
          <w:rFonts w:eastAsiaTheme="minorHAnsi"/>
          <w:sz w:val="28"/>
          <w:szCs w:val="28"/>
          <w:lang w:eastAsia="en-US"/>
        </w:rPr>
        <w:t xml:space="preserve"> _______ 20__ г.</w:t>
      </w:r>
    </w:p>
    <w:p w:rsidR="00614642" w:rsidRDefault="00614642" w:rsidP="009C3B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614642" w:rsidSect="00B40A4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10" w:right="1134" w:bottom="26" w:left="1701" w:header="709" w:footer="709" w:gutter="0"/>
          <w:cols w:space="708"/>
          <w:docGrid w:linePitch="360"/>
        </w:sect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"/>
        <w:gridCol w:w="567"/>
        <w:gridCol w:w="425"/>
        <w:gridCol w:w="283"/>
        <w:gridCol w:w="993"/>
        <w:gridCol w:w="283"/>
        <w:gridCol w:w="425"/>
        <w:gridCol w:w="709"/>
        <w:gridCol w:w="141"/>
        <w:gridCol w:w="851"/>
        <w:gridCol w:w="851"/>
        <w:gridCol w:w="142"/>
        <w:gridCol w:w="567"/>
        <w:gridCol w:w="708"/>
        <w:gridCol w:w="851"/>
        <w:gridCol w:w="567"/>
        <w:gridCol w:w="709"/>
        <w:gridCol w:w="21"/>
        <w:gridCol w:w="687"/>
        <w:gridCol w:w="709"/>
        <w:gridCol w:w="62"/>
        <w:gridCol w:w="385"/>
        <w:gridCol w:w="120"/>
        <w:gridCol w:w="142"/>
        <w:gridCol w:w="589"/>
        <w:gridCol w:w="120"/>
        <w:gridCol w:w="313"/>
        <w:gridCol w:w="112"/>
        <w:gridCol w:w="283"/>
        <w:gridCol w:w="714"/>
        <w:gridCol w:w="137"/>
        <w:gridCol w:w="709"/>
        <w:gridCol w:w="14"/>
        <w:gridCol w:w="105"/>
        <w:gridCol w:w="15"/>
        <w:gridCol w:w="597"/>
        <w:gridCol w:w="119"/>
      </w:tblGrid>
      <w:tr w:rsidR="00B42D5E" w:rsidRPr="00BC7AE8" w:rsidTr="00CF1E95">
        <w:trPr>
          <w:gridAfter w:val="3"/>
          <w:wAfter w:w="731" w:type="dxa"/>
        </w:trPr>
        <w:tc>
          <w:tcPr>
            <w:tcW w:w="11606" w:type="dxa"/>
            <w:gridSpan w:val="22"/>
          </w:tcPr>
          <w:tbl>
            <w:tblPr>
              <w:tblStyle w:val="aa"/>
              <w:tblW w:w="11203" w:type="dxa"/>
              <w:tblLayout w:type="fixed"/>
              <w:tblLook w:val="04A0"/>
            </w:tblPr>
            <w:tblGrid>
              <w:gridCol w:w="2866"/>
              <w:gridCol w:w="5072"/>
              <w:gridCol w:w="2410"/>
              <w:gridCol w:w="855"/>
            </w:tblGrid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1F5424" w:rsidRPr="00BC7AE8" w:rsidRDefault="001F5424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3058FB" w:rsidRPr="00BC7AE8" w:rsidRDefault="003058FB" w:rsidP="003058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Pr="00BC7AE8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Коды</w:t>
                  </w: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Pr="00BC7AE8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Финансовый орган муниципального образования</w:t>
                  </w: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по Сводному реестру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Pr="009E3639" w:rsidRDefault="003058FB" w:rsidP="003058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Наименование направления расходов</w:t>
                  </w:r>
                </w:p>
                <w:p w:rsidR="003058FB" w:rsidRPr="009E3639" w:rsidRDefault="003058FB" w:rsidP="003058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E3639">
                    <w:rPr>
                      <w:sz w:val="24"/>
                      <w:szCs w:val="24"/>
                    </w:rPr>
                    <w:t>республиканского бюджета</w:t>
                  </w:r>
                </w:p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E3639">
                    <w:rPr>
                      <w:sz w:val="24"/>
                      <w:szCs w:val="24"/>
                    </w:rPr>
                    <w:t>Республики Адыгея</w:t>
                  </w:r>
                </w:p>
              </w:tc>
              <w:tc>
                <w:tcPr>
                  <w:tcW w:w="5072" w:type="dxa"/>
                  <w:tcBorders>
                    <w:left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по БК</w:t>
                  </w:r>
                </w:p>
                <w:p w:rsidR="003058FB" w:rsidRPr="003058FB" w:rsidRDefault="003058FB" w:rsidP="003058F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Pr="009E3639" w:rsidRDefault="003058FB" w:rsidP="003058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Наименование направления расходов</w:t>
                  </w:r>
                </w:p>
                <w:p w:rsidR="003058FB" w:rsidRPr="009E3639" w:rsidRDefault="003058FB" w:rsidP="003058F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местного</w:t>
                  </w:r>
                  <w:r w:rsidRPr="009E3639">
                    <w:rPr>
                      <w:sz w:val="24"/>
                      <w:szCs w:val="24"/>
                    </w:rPr>
                    <w:t xml:space="preserve"> бюджета</w:t>
                  </w:r>
                </w:p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72" w:type="dxa"/>
                  <w:tcBorders>
                    <w:left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БК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E3639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Главный распорядитель средств республиканского бюджета Республики Адыгея</w:t>
                  </w:r>
                </w:p>
              </w:tc>
              <w:tc>
                <w:tcPr>
                  <w:tcW w:w="5072" w:type="dxa"/>
                  <w:tcBorders>
                    <w:left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1F5424" w:rsidRDefault="001F5424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по Сводному реестру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Вид документа</w:t>
                  </w:r>
                </w:p>
              </w:tc>
              <w:tc>
                <w:tcPr>
                  <w:tcW w:w="507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Номер корректировки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343" w:rsidRDefault="00D57343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Периодичность: годовая</w:t>
                  </w:r>
                </w:p>
              </w:tc>
              <w:tc>
                <w:tcPr>
                  <w:tcW w:w="5072" w:type="dxa"/>
                  <w:tcBorders>
                    <w:left w:val="nil"/>
                    <w:bottom w:val="nil"/>
                    <w:right w:val="nil"/>
                  </w:tcBorders>
                </w:tcPr>
                <w:p w:rsidR="003058FB" w:rsidRDefault="00131088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(первичный, корректирующий)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058FB" w:rsidTr="001D2AB6">
              <w:trPr>
                <w:trHeight w:val="624"/>
              </w:trPr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C7AE8">
                    <w:rPr>
                      <w:sz w:val="24"/>
                      <w:szCs w:val="24"/>
                    </w:rPr>
                    <w:t>Единица измерения: руб</w:t>
                  </w:r>
                  <w:r w:rsidRPr="009E3639">
                    <w:rPr>
                      <w:sz w:val="24"/>
                      <w:szCs w:val="24"/>
                    </w:rPr>
                    <w:t>.</w:t>
                  </w:r>
                  <w:r w:rsidRPr="00BC7AE8">
                    <w:rPr>
                      <w:sz w:val="24"/>
                      <w:szCs w:val="24"/>
                    </w:rPr>
                    <w:t xml:space="preserve"> (с точностью до второго десятичного знака)</w:t>
                  </w:r>
                </w:p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 ОКЕИ                    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58FB" w:rsidRDefault="003058FB" w:rsidP="003058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383</w:t>
                  </w:r>
                </w:p>
              </w:tc>
            </w:tr>
            <w:tr w:rsidR="003058FB" w:rsidTr="001D2AB6">
              <w:tc>
                <w:tcPr>
                  <w:tcW w:w="2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58FB" w:rsidRDefault="003058FB" w:rsidP="00FB270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2D5E" w:rsidRDefault="00B42D5E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033" w:rsidRDefault="00E53033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033" w:rsidRDefault="00E53033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033" w:rsidRDefault="00E53033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033" w:rsidRDefault="00E53033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033" w:rsidRDefault="00E53033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3033" w:rsidRPr="00BC7AE8" w:rsidRDefault="00E53033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8" w:type="dxa"/>
            <w:gridSpan w:val="9"/>
          </w:tcPr>
          <w:p w:rsidR="002C16A1" w:rsidRDefault="002C16A1" w:rsidP="00FB2709"/>
          <w:p w:rsidR="002C16A1" w:rsidRDefault="002C16A1" w:rsidP="001D16A2">
            <w:pPr>
              <w:ind w:left="1834"/>
            </w:pPr>
          </w:p>
          <w:p w:rsidR="002C16A1" w:rsidRDefault="002C16A1" w:rsidP="00FB2709"/>
          <w:p w:rsidR="002C16A1" w:rsidRDefault="002C16A1" w:rsidP="00FB2709"/>
          <w:p w:rsidR="003058FB" w:rsidRDefault="003058FB" w:rsidP="00FB2709"/>
          <w:p w:rsidR="002C16A1" w:rsidRDefault="002C16A1" w:rsidP="00FB2709"/>
          <w:p w:rsidR="002C16A1" w:rsidRDefault="002C16A1" w:rsidP="00FB2709"/>
          <w:p w:rsidR="002C16A1" w:rsidRDefault="002C16A1" w:rsidP="00FB2709"/>
          <w:p w:rsidR="002C16A1" w:rsidRDefault="002C16A1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644709" w:rsidRDefault="00644709" w:rsidP="00FB2709"/>
          <w:p w:rsidR="00587B7D" w:rsidRDefault="00587B7D" w:rsidP="00FB2709"/>
          <w:p w:rsidR="00587B7D" w:rsidRPr="005765E3" w:rsidRDefault="00587B7D" w:rsidP="00FB2709"/>
        </w:tc>
        <w:tc>
          <w:tcPr>
            <w:tcW w:w="965" w:type="dxa"/>
            <w:gridSpan w:val="4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292" w:type="dxa"/>
            <w:gridSpan w:val="14"/>
            <w:vMerge w:val="restart"/>
          </w:tcPr>
          <w:p w:rsidR="00B42D5E" w:rsidRPr="005765E3" w:rsidRDefault="0024292F" w:rsidP="00941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Согл</w:t>
            </w:r>
            <w:r w:rsidR="00B42D5E" w:rsidRPr="005765E3">
              <w:rPr>
                <w:rFonts w:ascii="Times New Roman" w:hAnsi="Times New Roman" w:cs="Times New Roman"/>
                <w:sz w:val="20"/>
              </w:rPr>
              <w:t xml:space="preserve">ашение (нормативный правовой акт) о предоставлении из </w:t>
            </w:r>
            <w:r w:rsidR="00941A68">
              <w:rPr>
                <w:rFonts w:ascii="Times New Roman" w:hAnsi="Times New Roman" w:cs="Times New Roman"/>
                <w:sz w:val="20"/>
              </w:rPr>
              <w:t xml:space="preserve">республиканского </w:t>
            </w:r>
            <w:r w:rsidR="00B42D5E" w:rsidRPr="005765E3">
              <w:rPr>
                <w:rFonts w:ascii="Times New Roman" w:hAnsi="Times New Roman" w:cs="Times New Roman"/>
                <w:sz w:val="20"/>
              </w:rPr>
              <w:t>бюджета местному бюджету межбюджетного трансферта</w:t>
            </w:r>
          </w:p>
        </w:tc>
        <w:tc>
          <w:tcPr>
            <w:tcW w:w="1559" w:type="dxa"/>
            <w:gridSpan w:val="2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Муниципальный заказчик (получатель средств местного бюджета)</w:t>
            </w:r>
          </w:p>
        </w:tc>
        <w:tc>
          <w:tcPr>
            <w:tcW w:w="4111" w:type="dxa"/>
            <w:gridSpan w:val="11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Муниципальный контракт</w:t>
            </w:r>
          </w:p>
        </w:tc>
        <w:tc>
          <w:tcPr>
            <w:tcW w:w="1559" w:type="dxa"/>
            <w:gridSpan w:val="5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Бюджетное обязательство</w:t>
            </w:r>
          </w:p>
        </w:tc>
        <w:tc>
          <w:tcPr>
            <w:tcW w:w="709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proofErr w:type="spellStart"/>
            <w:r w:rsidRPr="005765E3"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 w:rsidRPr="005765E3">
              <w:rPr>
                <w:rFonts w:ascii="Times New Roman" w:hAnsi="Times New Roman" w:cs="Times New Roman"/>
                <w:sz w:val="20"/>
              </w:rPr>
              <w:t xml:space="preserve"> расходного обязательства муниципального образования, %</w:t>
            </w:r>
          </w:p>
        </w:tc>
        <w:tc>
          <w:tcPr>
            <w:tcW w:w="850" w:type="dxa"/>
            <w:gridSpan w:val="5"/>
            <w:vMerge w:val="restart"/>
          </w:tcPr>
          <w:p w:rsidR="00E5303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 xml:space="preserve">Сумма, в пределах которой главному распорядителю средств </w:t>
            </w:r>
            <w:r w:rsidR="00F70EF5">
              <w:rPr>
                <w:rFonts w:ascii="Times New Roman" w:hAnsi="Times New Roman" w:cs="Times New Roman"/>
                <w:sz w:val="20"/>
              </w:rPr>
              <w:t xml:space="preserve">республиканского </w:t>
            </w:r>
            <w:r w:rsidRPr="005765E3">
              <w:rPr>
                <w:rFonts w:ascii="Times New Roman" w:hAnsi="Times New Roman" w:cs="Times New Roman"/>
                <w:sz w:val="20"/>
              </w:rPr>
              <w:t>бюджета могут быть увеличены бюджетные ассигнования в текущем финансовом году</w:t>
            </w:r>
          </w:p>
          <w:p w:rsidR="00E53033" w:rsidRPr="005765E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292" w:type="dxa"/>
            <w:gridSpan w:val="14"/>
            <w:vMerge/>
          </w:tcPr>
          <w:p w:rsidR="00B42D5E" w:rsidRPr="005765E3" w:rsidRDefault="00B42D5E" w:rsidP="00FB2709"/>
        </w:tc>
        <w:tc>
          <w:tcPr>
            <w:tcW w:w="1559" w:type="dxa"/>
            <w:gridSpan w:val="2"/>
            <w:vMerge/>
          </w:tcPr>
          <w:p w:rsidR="00B42D5E" w:rsidRPr="005765E3" w:rsidRDefault="00B42D5E" w:rsidP="00FB2709"/>
        </w:tc>
        <w:tc>
          <w:tcPr>
            <w:tcW w:w="567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835" w:type="dxa"/>
            <w:gridSpan w:val="9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559" w:type="dxa"/>
            <w:gridSpan w:val="5"/>
            <w:vMerge/>
          </w:tcPr>
          <w:p w:rsidR="00B42D5E" w:rsidRPr="005765E3" w:rsidRDefault="00B42D5E" w:rsidP="00FB2709"/>
        </w:tc>
        <w:tc>
          <w:tcPr>
            <w:tcW w:w="709" w:type="dxa"/>
            <w:vMerge/>
          </w:tcPr>
          <w:p w:rsidR="00B42D5E" w:rsidRPr="005765E3" w:rsidRDefault="00B42D5E" w:rsidP="00FB2709"/>
        </w:tc>
        <w:tc>
          <w:tcPr>
            <w:tcW w:w="850" w:type="dxa"/>
            <w:gridSpan w:val="5"/>
            <w:vMerge/>
          </w:tcPr>
          <w:p w:rsidR="00B42D5E" w:rsidRPr="005765E3" w:rsidRDefault="00B42D5E" w:rsidP="00FB2709"/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8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67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3118" w:type="dxa"/>
            <w:gridSpan w:val="6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992" w:type="dxa"/>
            <w:gridSpan w:val="2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неисполненный остаток бюджетного обязательства на начало текущего финансового года</w:t>
            </w:r>
          </w:p>
        </w:tc>
        <w:tc>
          <w:tcPr>
            <w:tcW w:w="851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учетный номер бюджетного обязательства</w:t>
            </w:r>
          </w:p>
        </w:tc>
        <w:tc>
          <w:tcPr>
            <w:tcW w:w="709" w:type="dxa"/>
            <w:gridSpan w:val="2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аналитический код цели</w:t>
            </w:r>
          </w:p>
        </w:tc>
        <w:tc>
          <w:tcPr>
            <w:tcW w:w="708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567" w:type="dxa"/>
            <w:vMerge/>
          </w:tcPr>
          <w:p w:rsidR="00B42D5E" w:rsidRPr="005765E3" w:rsidRDefault="00B42D5E" w:rsidP="00FB2709"/>
        </w:tc>
        <w:tc>
          <w:tcPr>
            <w:tcW w:w="709" w:type="dxa"/>
            <w:vMerge/>
          </w:tcPr>
          <w:p w:rsidR="00B42D5E" w:rsidRPr="005765E3" w:rsidRDefault="00B42D5E" w:rsidP="00FB2709"/>
        </w:tc>
        <w:tc>
          <w:tcPr>
            <w:tcW w:w="708" w:type="dxa"/>
            <w:gridSpan w:val="2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709" w:type="dxa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709" w:type="dxa"/>
            <w:gridSpan w:val="4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709" w:type="dxa"/>
            <w:gridSpan w:val="2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708" w:type="dxa"/>
            <w:gridSpan w:val="3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учетный номер</w:t>
            </w:r>
          </w:p>
        </w:tc>
        <w:tc>
          <w:tcPr>
            <w:tcW w:w="851" w:type="dxa"/>
            <w:gridSpan w:val="2"/>
            <w:vMerge w:val="restart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неисполненный остаток отчетного финансового года</w:t>
            </w:r>
          </w:p>
        </w:tc>
        <w:tc>
          <w:tcPr>
            <w:tcW w:w="709" w:type="dxa"/>
            <w:vMerge/>
          </w:tcPr>
          <w:p w:rsidR="00B42D5E" w:rsidRPr="005765E3" w:rsidRDefault="00B42D5E" w:rsidP="00FB2709"/>
        </w:tc>
        <w:tc>
          <w:tcPr>
            <w:tcW w:w="850" w:type="dxa"/>
            <w:gridSpan w:val="5"/>
            <w:vMerge/>
          </w:tcPr>
          <w:p w:rsidR="00B42D5E" w:rsidRPr="005765E3" w:rsidRDefault="00B42D5E" w:rsidP="00FB2709"/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8" w:type="dxa"/>
            <w:vMerge/>
          </w:tcPr>
          <w:p w:rsidR="00B42D5E" w:rsidRPr="005765E3" w:rsidRDefault="00B42D5E" w:rsidP="00FB2709"/>
        </w:tc>
        <w:tc>
          <w:tcPr>
            <w:tcW w:w="567" w:type="dxa"/>
            <w:vMerge/>
          </w:tcPr>
          <w:p w:rsidR="00B42D5E" w:rsidRPr="005765E3" w:rsidRDefault="00B42D5E" w:rsidP="00FB2709"/>
        </w:tc>
        <w:tc>
          <w:tcPr>
            <w:tcW w:w="567" w:type="dxa"/>
            <w:vMerge/>
          </w:tcPr>
          <w:p w:rsidR="00B42D5E" w:rsidRPr="005765E3" w:rsidRDefault="00B42D5E" w:rsidP="00FB2709"/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главы</w:t>
            </w:r>
          </w:p>
        </w:tc>
        <w:tc>
          <w:tcPr>
            <w:tcW w:w="993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раздела, подраздела</w:t>
            </w: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992" w:type="dxa"/>
            <w:gridSpan w:val="2"/>
            <w:vMerge/>
          </w:tcPr>
          <w:p w:rsidR="00B42D5E" w:rsidRPr="005765E3" w:rsidRDefault="00B42D5E" w:rsidP="00FB2709"/>
        </w:tc>
        <w:tc>
          <w:tcPr>
            <w:tcW w:w="851" w:type="dxa"/>
            <w:vMerge/>
          </w:tcPr>
          <w:p w:rsidR="00B42D5E" w:rsidRPr="005765E3" w:rsidRDefault="00B42D5E" w:rsidP="00FB2709"/>
        </w:tc>
        <w:tc>
          <w:tcPr>
            <w:tcW w:w="709" w:type="dxa"/>
            <w:gridSpan w:val="2"/>
            <w:vMerge/>
          </w:tcPr>
          <w:p w:rsidR="00B42D5E" w:rsidRPr="005765E3" w:rsidRDefault="00B42D5E" w:rsidP="00FB2709"/>
        </w:tc>
        <w:tc>
          <w:tcPr>
            <w:tcW w:w="708" w:type="dxa"/>
            <w:vMerge/>
          </w:tcPr>
          <w:p w:rsidR="00B42D5E" w:rsidRPr="005765E3" w:rsidRDefault="00B42D5E" w:rsidP="00FB2709"/>
        </w:tc>
        <w:tc>
          <w:tcPr>
            <w:tcW w:w="851" w:type="dxa"/>
            <w:vMerge/>
          </w:tcPr>
          <w:p w:rsidR="00B42D5E" w:rsidRPr="005765E3" w:rsidRDefault="00B42D5E" w:rsidP="00FB2709"/>
        </w:tc>
        <w:tc>
          <w:tcPr>
            <w:tcW w:w="567" w:type="dxa"/>
            <w:vMerge/>
          </w:tcPr>
          <w:p w:rsidR="00B42D5E" w:rsidRPr="005765E3" w:rsidRDefault="00B42D5E" w:rsidP="00FB2709"/>
        </w:tc>
        <w:tc>
          <w:tcPr>
            <w:tcW w:w="709" w:type="dxa"/>
            <w:vMerge/>
          </w:tcPr>
          <w:p w:rsidR="00B42D5E" w:rsidRPr="005765E3" w:rsidRDefault="00B42D5E" w:rsidP="00FB2709"/>
        </w:tc>
        <w:tc>
          <w:tcPr>
            <w:tcW w:w="708" w:type="dxa"/>
            <w:gridSpan w:val="2"/>
            <w:vMerge/>
          </w:tcPr>
          <w:p w:rsidR="00B42D5E" w:rsidRPr="005765E3" w:rsidRDefault="00B42D5E" w:rsidP="00FB2709"/>
        </w:tc>
        <w:tc>
          <w:tcPr>
            <w:tcW w:w="709" w:type="dxa"/>
            <w:vMerge/>
          </w:tcPr>
          <w:p w:rsidR="00B42D5E" w:rsidRPr="005765E3" w:rsidRDefault="00B42D5E" w:rsidP="00FB2709"/>
        </w:tc>
        <w:tc>
          <w:tcPr>
            <w:tcW w:w="709" w:type="dxa"/>
            <w:gridSpan w:val="4"/>
            <w:vMerge/>
          </w:tcPr>
          <w:p w:rsidR="00B42D5E" w:rsidRPr="005765E3" w:rsidRDefault="00B42D5E" w:rsidP="00FB2709"/>
        </w:tc>
        <w:tc>
          <w:tcPr>
            <w:tcW w:w="709" w:type="dxa"/>
            <w:gridSpan w:val="2"/>
            <w:vMerge/>
          </w:tcPr>
          <w:p w:rsidR="00B42D5E" w:rsidRPr="005765E3" w:rsidRDefault="00B42D5E" w:rsidP="00FB2709"/>
        </w:tc>
        <w:tc>
          <w:tcPr>
            <w:tcW w:w="708" w:type="dxa"/>
            <w:gridSpan w:val="3"/>
            <w:vMerge/>
          </w:tcPr>
          <w:p w:rsidR="00B42D5E" w:rsidRPr="005765E3" w:rsidRDefault="00B42D5E" w:rsidP="00FB2709"/>
        </w:tc>
        <w:tc>
          <w:tcPr>
            <w:tcW w:w="851" w:type="dxa"/>
            <w:gridSpan w:val="2"/>
            <w:vMerge/>
          </w:tcPr>
          <w:p w:rsidR="00B42D5E" w:rsidRPr="005765E3" w:rsidRDefault="00B42D5E" w:rsidP="00FB2709"/>
        </w:tc>
        <w:tc>
          <w:tcPr>
            <w:tcW w:w="709" w:type="dxa"/>
            <w:vMerge/>
          </w:tcPr>
          <w:p w:rsidR="00B42D5E" w:rsidRPr="005765E3" w:rsidRDefault="00B42D5E" w:rsidP="00FB2709"/>
        </w:tc>
        <w:tc>
          <w:tcPr>
            <w:tcW w:w="850" w:type="dxa"/>
            <w:gridSpan w:val="5"/>
            <w:vMerge/>
          </w:tcPr>
          <w:p w:rsidR="00B42D5E" w:rsidRPr="005765E3" w:rsidRDefault="00B42D5E" w:rsidP="00FB2709"/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8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gridSpan w:val="4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8" w:type="dxa"/>
            <w:gridSpan w:val="3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0" w:type="dxa"/>
            <w:gridSpan w:val="5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88" w:type="dxa"/>
          </w:tcPr>
          <w:p w:rsidR="00B42D5E" w:rsidRPr="005765E3" w:rsidRDefault="00B42D5E" w:rsidP="00FB270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42D5E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03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03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03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03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033" w:rsidRPr="005765E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4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3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5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D5E" w:rsidRPr="005765E3" w:rsidTr="00CF1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521" w:type="dxa"/>
            <w:gridSpan w:val="32"/>
          </w:tcPr>
          <w:p w:rsidR="00B42D5E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3033" w:rsidRPr="005765E3" w:rsidRDefault="00E53033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6"/>
          </w:tcPr>
          <w:p w:rsidR="00B42D5E" w:rsidRPr="005765E3" w:rsidRDefault="00B42D5E" w:rsidP="00FB27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65E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B626FC" w:rsidRPr="00AA50DD" w:rsidTr="004E66CE">
        <w:trPr>
          <w:gridAfter w:val="2"/>
          <w:wAfter w:w="716" w:type="dxa"/>
        </w:trPr>
        <w:tc>
          <w:tcPr>
            <w:tcW w:w="2047" w:type="dxa"/>
            <w:gridSpan w:val="4"/>
          </w:tcPr>
          <w:p w:rsidR="00B626FC" w:rsidRPr="00AA50DD" w:rsidRDefault="00B626FC" w:rsidP="00FB2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lastRenderedPageBreak/>
              <w:t>Руководитель (уполномоченное лицо)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 xml:space="preserve">Главный распорядитель средств </w:t>
            </w:r>
            <w:r>
              <w:rPr>
                <w:sz w:val="24"/>
                <w:szCs w:val="24"/>
              </w:rPr>
              <w:t>республиканского</w:t>
            </w:r>
            <w:r w:rsidRPr="00AA50DD">
              <w:rPr>
                <w:sz w:val="24"/>
                <w:szCs w:val="24"/>
              </w:rPr>
              <w:t xml:space="preserve"> бюджета:</w:t>
            </w:r>
          </w:p>
        </w:tc>
        <w:tc>
          <w:tcPr>
            <w:tcW w:w="1984" w:type="dxa"/>
            <w:gridSpan w:val="6"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4"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8"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B626FC" w:rsidRPr="00AA50DD" w:rsidTr="004E66CE">
        <w:trPr>
          <w:gridAfter w:val="4"/>
          <w:wAfter w:w="836" w:type="dxa"/>
        </w:trPr>
        <w:tc>
          <w:tcPr>
            <w:tcW w:w="2047" w:type="dxa"/>
            <w:gridSpan w:val="4"/>
          </w:tcPr>
          <w:p w:rsidR="00B626FC" w:rsidRPr="00AA50DD" w:rsidRDefault="00B626FC" w:rsidP="00FB2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(должность)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(подпись)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567" w:type="dxa"/>
            <w:vMerge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5"/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 w:firstLine="385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8"/>
            <w:tcBorders>
              <w:bottom w:val="single" w:sz="4" w:space="0" w:color="auto"/>
            </w:tcBorders>
          </w:tcPr>
          <w:p w:rsidR="00B626FC" w:rsidRPr="00AA50DD" w:rsidRDefault="00B626FC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F1E95" w:rsidRPr="00AA50DD" w:rsidTr="004E66CE">
        <w:trPr>
          <w:gridAfter w:val="2"/>
          <w:wAfter w:w="716" w:type="dxa"/>
        </w:trPr>
        <w:tc>
          <w:tcPr>
            <w:tcW w:w="2047" w:type="dxa"/>
            <w:gridSpan w:val="4"/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(должность)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CF1E95" w:rsidRPr="00AA50DD" w:rsidRDefault="00CF1E95" w:rsidP="004E66CE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(подпись</w:t>
            </w:r>
            <w:r w:rsidR="004E66CE">
              <w:rPr>
                <w:sz w:val="24"/>
                <w:szCs w:val="24"/>
              </w:rPr>
              <w:t>)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</w:tcBorders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(расшифровка подписи)</w:t>
            </w:r>
          </w:p>
        </w:tc>
      </w:tr>
      <w:tr w:rsidR="00CF1E95" w:rsidRPr="00AA50DD" w:rsidTr="004E66CE">
        <w:trPr>
          <w:gridAfter w:val="2"/>
          <w:wAfter w:w="716" w:type="dxa"/>
        </w:trPr>
        <w:tc>
          <w:tcPr>
            <w:tcW w:w="2047" w:type="dxa"/>
            <w:gridSpan w:val="4"/>
            <w:vMerge w:val="restart"/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Главный бухгалтер (уполномоченное лицо)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7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F1E95" w:rsidRPr="00AA50DD" w:rsidTr="004E66CE">
        <w:trPr>
          <w:gridAfter w:val="2"/>
          <w:wAfter w:w="716" w:type="dxa"/>
        </w:trPr>
        <w:tc>
          <w:tcPr>
            <w:tcW w:w="2047" w:type="dxa"/>
            <w:gridSpan w:val="4"/>
            <w:vMerge/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(должность)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(подпись)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567" w:type="dxa"/>
            <w:vMerge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7"/>
            <w:tcBorders>
              <w:bottom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CF1E95" w:rsidRPr="00AA50DD" w:rsidTr="004E66CE">
        <w:trPr>
          <w:gridAfter w:val="2"/>
          <w:wAfter w:w="716" w:type="dxa"/>
        </w:trPr>
        <w:tc>
          <w:tcPr>
            <w:tcW w:w="2047" w:type="dxa"/>
            <w:gridSpan w:val="4"/>
            <w:vMerge w:val="restart"/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</w:t>
            </w:r>
            <w:r w:rsidRPr="00AA50DD">
              <w:rPr>
                <w:sz w:val="24"/>
                <w:szCs w:val="24"/>
              </w:rPr>
              <w:t xml:space="preserve"> 20__ г.</w:t>
            </w:r>
          </w:p>
        </w:tc>
        <w:tc>
          <w:tcPr>
            <w:tcW w:w="8080" w:type="dxa"/>
            <w:gridSpan w:val="14"/>
            <w:vMerge w:val="restart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 w:firstLine="487"/>
              <w:jc w:val="both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МП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(должность)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(подпись)</w:t>
            </w:r>
          </w:p>
        </w:tc>
        <w:tc>
          <w:tcPr>
            <w:tcW w:w="1977" w:type="dxa"/>
            <w:gridSpan w:val="7"/>
            <w:tcBorders>
              <w:top w:val="single" w:sz="4" w:space="0" w:color="auto"/>
            </w:tcBorders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(расшифровка подписи)</w:t>
            </w:r>
          </w:p>
        </w:tc>
      </w:tr>
      <w:tr w:rsidR="00CF1E95" w:rsidRPr="00AA50DD" w:rsidTr="00CF1E95">
        <w:trPr>
          <w:gridAfter w:val="1"/>
          <w:wAfter w:w="119" w:type="dxa"/>
        </w:trPr>
        <w:tc>
          <w:tcPr>
            <w:tcW w:w="2047" w:type="dxa"/>
            <w:gridSpan w:val="4"/>
            <w:vMerge/>
          </w:tcPr>
          <w:p w:rsidR="00CF1E95" w:rsidRPr="00AA50DD" w:rsidRDefault="00CF1E95" w:rsidP="00FB27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4"/>
            <w:vMerge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4"/>
          </w:tcPr>
          <w:p w:rsidR="00CF1E95" w:rsidRPr="00AA50DD" w:rsidRDefault="00CF1E95" w:rsidP="00CF1E95">
            <w:pPr>
              <w:tabs>
                <w:tab w:val="left" w:pos="1214"/>
                <w:tab w:val="right" w:pos="4232"/>
              </w:tabs>
              <w:autoSpaceDE w:val="0"/>
              <w:autoSpaceDN w:val="0"/>
              <w:adjustRightInd w:val="0"/>
              <w:ind w:left="57" w:firstLine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«___» ________</w:t>
            </w:r>
            <w:r w:rsidRPr="00AA50DD">
              <w:rPr>
                <w:sz w:val="24"/>
                <w:szCs w:val="24"/>
              </w:rPr>
              <w:t xml:space="preserve"> 20__ г.</w:t>
            </w:r>
          </w:p>
        </w:tc>
        <w:tc>
          <w:tcPr>
            <w:tcW w:w="1440" w:type="dxa"/>
            <w:gridSpan w:val="5"/>
          </w:tcPr>
          <w:p w:rsidR="00CF1E95" w:rsidRPr="00AA50DD" w:rsidRDefault="00CF1E95" w:rsidP="00CF1E95">
            <w:pPr>
              <w:autoSpaceDE w:val="0"/>
              <w:autoSpaceDN w:val="0"/>
              <w:adjustRightInd w:val="0"/>
              <w:ind w:left="57" w:hanging="62"/>
              <w:jc w:val="center"/>
              <w:rPr>
                <w:sz w:val="24"/>
                <w:szCs w:val="24"/>
              </w:rPr>
            </w:pPr>
            <w:r w:rsidRPr="00AA50DD">
              <w:rPr>
                <w:sz w:val="24"/>
                <w:szCs w:val="24"/>
              </w:rPr>
              <w:t>МП</w:t>
            </w:r>
          </w:p>
        </w:tc>
      </w:tr>
    </w:tbl>
    <w:p w:rsidR="00B626FC" w:rsidRDefault="00B626FC" w:rsidP="00B626FC"/>
    <w:p w:rsidR="00B626FC" w:rsidRPr="009E3639" w:rsidRDefault="00B626FC" w:rsidP="007B6A09">
      <w:pPr>
        <w:tabs>
          <w:tab w:val="left" w:pos="5670"/>
          <w:tab w:val="left" w:pos="9072"/>
        </w:tabs>
        <w:ind w:right="225"/>
        <w:rPr>
          <w:sz w:val="24"/>
          <w:szCs w:val="24"/>
        </w:rPr>
      </w:pPr>
    </w:p>
    <w:p w:rsidR="009C3B6D" w:rsidRPr="002D2E74" w:rsidRDefault="009C3B6D" w:rsidP="00B7344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sectPr w:rsidR="009C3B6D" w:rsidRPr="002D2E74" w:rsidSect="00CF1E95">
      <w:pgSz w:w="16838" w:h="11906" w:orient="landscape"/>
      <w:pgMar w:top="680" w:right="510" w:bottom="680" w:left="51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96" w:rsidRDefault="00A50E96" w:rsidP="00E97EE7">
      <w:r>
        <w:separator/>
      </w:r>
    </w:p>
  </w:endnote>
  <w:endnote w:type="continuationSeparator" w:id="0">
    <w:p w:rsidR="00A50E96" w:rsidRDefault="00A50E96" w:rsidP="00E9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7D" w:rsidRDefault="00AA14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52" w:rsidRDefault="00EA1D52">
    <w:pPr>
      <w:pStyle w:val="a8"/>
      <w:jc w:val="center"/>
    </w:pPr>
  </w:p>
  <w:p w:rsidR="00EA1D52" w:rsidRDefault="00EA1D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7D" w:rsidRDefault="00AA14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96" w:rsidRDefault="00A50E96" w:rsidP="00E97EE7">
      <w:r>
        <w:separator/>
      </w:r>
    </w:p>
  </w:footnote>
  <w:footnote w:type="continuationSeparator" w:id="0">
    <w:p w:rsidR="00A50E96" w:rsidRDefault="00A50E96" w:rsidP="00E9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7D" w:rsidRDefault="00AA14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222"/>
      <w:docPartObj>
        <w:docPartGallery w:val="Page Numbers (Top of Page)"/>
        <w:docPartUnique/>
      </w:docPartObj>
    </w:sdtPr>
    <w:sdtContent>
      <w:p w:rsidR="00AA147D" w:rsidRDefault="00AA147D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A1D52" w:rsidRDefault="00EA1D5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7D" w:rsidRDefault="00AA14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78"/>
    <w:rsid w:val="00001200"/>
    <w:rsid w:val="00005FDA"/>
    <w:rsid w:val="000258DE"/>
    <w:rsid w:val="00025D3C"/>
    <w:rsid w:val="00026E1D"/>
    <w:rsid w:val="00064FE2"/>
    <w:rsid w:val="000655CC"/>
    <w:rsid w:val="000716C5"/>
    <w:rsid w:val="000A1423"/>
    <w:rsid w:val="000B6AA5"/>
    <w:rsid w:val="000C59B9"/>
    <w:rsid w:val="000D46A9"/>
    <w:rsid w:val="000E4A51"/>
    <w:rsid w:val="00130CC9"/>
    <w:rsid w:val="00131088"/>
    <w:rsid w:val="001356BD"/>
    <w:rsid w:val="001372FD"/>
    <w:rsid w:val="00142BA5"/>
    <w:rsid w:val="00157424"/>
    <w:rsid w:val="00157EC2"/>
    <w:rsid w:val="0016141C"/>
    <w:rsid w:val="001652B0"/>
    <w:rsid w:val="00172733"/>
    <w:rsid w:val="0019259F"/>
    <w:rsid w:val="00196B9C"/>
    <w:rsid w:val="001B228E"/>
    <w:rsid w:val="001C1CCF"/>
    <w:rsid w:val="001D16A2"/>
    <w:rsid w:val="001D2AB6"/>
    <w:rsid w:val="001D3C0D"/>
    <w:rsid w:val="001E3AAA"/>
    <w:rsid w:val="001E3C1B"/>
    <w:rsid w:val="001E7D61"/>
    <w:rsid w:val="001F5424"/>
    <w:rsid w:val="002147E0"/>
    <w:rsid w:val="00215DA5"/>
    <w:rsid w:val="00227F0E"/>
    <w:rsid w:val="0024292F"/>
    <w:rsid w:val="00244943"/>
    <w:rsid w:val="00257D0E"/>
    <w:rsid w:val="00263347"/>
    <w:rsid w:val="00273927"/>
    <w:rsid w:val="002B0F26"/>
    <w:rsid w:val="002C16A1"/>
    <w:rsid w:val="002C4961"/>
    <w:rsid w:val="002D2E74"/>
    <w:rsid w:val="002E0A8D"/>
    <w:rsid w:val="0030226D"/>
    <w:rsid w:val="003042A5"/>
    <w:rsid w:val="003058FB"/>
    <w:rsid w:val="00320674"/>
    <w:rsid w:val="00330A26"/>
    <w:rsid w:val="00336A0F"/>
    <w:rsid w:val="00390EFF"/>
    <w:rsid w:val="003A31DF"/>
    <w:rsid w:val="003A7172"/>
    <w:rsid w:val="003B3597"/>
    <w:rsid w:val="003D5940"/>
    <w:rsid w:val="003D6E14"/>
    <w:rsid w:val="003D7830"/>
    <w:rsid w:val="003E5449"/>
    <w:rsid w:val="003F77CF"/>
    <w:rsid w:val="00422E78"/>
    <w:rsid w:val="00440997"/>
    <w:rsid w:val="00442445"/>
    <w:rsid w:val="004554F3"/>
    <w:rsid w:val="0046206E"/>
    <w:rsid w:val="00481323"/>
    <w:rsid w:val="0049529C"/>
    <w:rsid w:val="004A11FD"/>
    <w:rsid w:val="004A6AFA"/>
    <w:rsid w:val="004B290D"/>
    <w:rsid w:val="004B602B"/>
    <w:rsid w:val="004D7C0C"/>
    <w:rsid w:val="004E66CE"/>
    <w:rsid w:val="0050552B"/>
    <w:rsid w:val="00521FFA"/>
    <w:rsid w:val="00544592"/>
    <w:rsid w:val="00544668"/>
    <w:rsid w:val="00576469"/>
    <w:rsid w:val="005818FD"/>
    <w:rsid w:val="005834A2"/>
    <w:rsid w:val="00584B08"/>
    <w:rsid w:val="00587B7D"/>
    <w:rsid w:val="00595E39"/>
    <w:rsid w:val="005C0C35"/>
    <w:rsid w:val="005D1D09"/>
    <w:rsid w:val="005E2765"/>
    <w:rsid w:val="005F1E39"/>
    <w:rsid w:val="00605A53"/>
    <w:rsid w:val="00614642"/>
    <w:rsid w:val="00617C47"/>
    <w:rsid w:val="00625EEA"/>
    <w:rsid w:val="00644709"/>
    <w:rsid w:val="006829DE"/>
    <w:rsid w:val="006A104F"/>
    <w:rsid w:val="006A7801"/>
    <w:rsid w:val="006B5F8B"/>
    <w:rsid w:val="006E5D7B"/>
    <w:rsid w:val="006E77F0"/>
    <w:rsid w:val="006F709D"/>
    <w:rsid w:val="006F7500"/>
    <w:rsid w:val="0070752E"/>
    <w:rsid w:val="00723713"/>
    <w:rsid w:val="00725091"/>
    <w:rsid w:val="0073088B"/>
    <w:rsid w:val="00732C79"/>
    <w:rsid w:val="0073642E"/>
    <w:rsid w:val="00754C3D"/>
    <w:rsid w:val="00756146"/>
    <w:rsid w:val="0077143A"/>
    <w:rsid w:val="00776141"/>
    <w:rsid w:val="007813C6"/>
    <w:rsid w:val="007863EE"/>
    <w:rsid w:val="007B1EEF"/>
    <w:rsid w:val="007B6A09"/>
    <w:rsid w:val="007C3A35"/>
    <w:rsid w:val="007C7D67"/>
    <w:rsid w:val="007D46BC"/>
    <w:rsid w:val="007D5694"/>
    <w:rsid w:val="007F08C1"/>
    <w:rsid w:val="008119F9"/>
    <w:rsid w:val="00812421"/>
    <w:rsid w:val="00815F08"/>
    <w:rsid w:val="00835BDF"/>
    <w:rsid w:val="00872EA7"/>
    <w:rsid w:val="00875DD2"/>
    <w:rsid w:val="0088086F"/>
    <w:rsid w:val="00893530"/>
    <w:rsid w:val="0089355D"/>
    <w:rsid w:val="00893579"/>
    <w:rsid w:val="0089483A"/>
    <w:rsid w:val="008A74F0"/>
    <w:rsid w:val="008B6699"/>
    <w:rsid w:val="008C0CC3"/>
    <w:rsid w:val="008C3393"/>
    <w:rsid w:val="008E1834"/>
    <w:rsid w:val="00915A1D"/>
    <w:rsid w:val="00921D7C"/>
    <w:rsid w:val="00941A68"/>
    <w:rsid w:val="009437DE"/>
    <w:rsid w:val="00943A3D"/>
    <w:rsid w:val="0096109C"/>
    <w:rsid w:val="00961B37"/>
    <w:rsid w:val="00974A23"/>
    <w:rsid w:val="009A4F78"/>
    <w:rsid w:val="009B7B0F"/>
    <w:rsid w:val="009C1014"/>
    <w:rsid w:val="009C2AE3"/>
    <w:rsid w:val="009C3182"/>
    <w:rsid w:val="009C3B6D"/>
    <w:rsid w:val="00A10C2F"/>
    <w:rsid w:val="00A10F2E"/>
    <w:rsid w:val="00A25160"/>
    <w:rsid w:val="00A50E96"/>
    <w:rsid w:val="00A61F5D"/>
    <w:rsid w:val="00A66C45"/>
    <w:rsid w:val="00A84D47"/>
    <w:rsid w:val="00AA147D"/>
    <w:rsid w:val="00AA55F0"/>
    <w:rsid w:val="00AA612C"/>
    <w:rsid w:val="00AB639F"/>
    <w:rsid w:val="00AD6E30"/>
    <w:rsid w:val="00AE6D33"/>
    <w:rsid w:val="00AF6F99"/>
    <w:rsid w:val="00B20746"/>
    <w:rsid w:val="00B21F47"/>
    <w:rsid w:val="00B40A43"/>
    <w:rsid w:val="00B42D5E"/>
    <w:rsid w:val="00B43560"/>
    <w:rsid w:val="00B626FC"/>
    <w:rsid w:val="00B65DFE"/>
    <w:rsid w:val="00B7162A"/>
    <w:rsid w:val="00B73448"/>
    <w:rsid w:val="00BA14A1"/>
    <w:rsid w:val="00BE73C0"/>
    <w:rsid w:val="00C12A94"/>
    <w:rsid w:val="00C15778"/>
    <w:rsid w:val="00C23333"/>
    <w:rsid w:val="00C36A9C"/>
    <w:rsid w:val="00C37093"/>
    <w:rsid w:val="00C613BE"/>
    <w:rsid w:val="00C6488C"/>
    <w:rsid w:val="00C656A0"/>
    <w:rsid w:val="00C67044"/>
    <w:rsid w:val="00C73344"/>
    <w:rsid w:val="00C90985"/>
    <w:rsid w:val="00C92BE0"/>
    <w:rsid w:val="00CA1ED6"/>
    <w:rsid w:val="00CA52BE"/>
    <w:rsid w:val="00CC5CD3"/>
    <w:rsid w:val="00CD00EC"/>
    <w:rsid w:val="00CE2467"/>
    <w:rsid w:val="00CE4407"/>
    <w:rsid w:val="00CF1E95"/>
    <w:rsid w:val="00D03488"/>
    <w:rsid w:val="00D5067C"/>
    <w:rsid w:val="00D57343"/>
    <w:rsid w:val="00D60085"/>
    <w:rsid w:val="00D62FCD"/>
    <w:rsid w:val="00D67D93"/>
    <w:rsid w:val="00D772DB"/>
    <w:rsid w:val="00DA206E"/>
    <w:rsid w:val="00DA663B"/>
    <w:rsid w:val="00DB4BEB"/>
    <w:rsid w:val="00DC704D"/>
    <w:rsid w:val="00DE4919"/>
    <w:rsid w:val="00DE7CC0"/>
    <w:rsid w:val="00DF19E0"/>
    <w:rsid w:val="00E16F31"/>
    <w:rsid w:val="00E30B17"/>
    <w:rsid w:val="00E4672C"/>
    <w:rsid w:val="00E53033"/>
    <w:rsid w:val="00E54355"/>
    <w:rsid w:val="00E60532"/>
    <w:rsid w:val="00E63DBF"/>
    <w:rsid w:val="00E97EE7"/>
    <w:rsid w:val="00EA1D52"/>
    <w:rsid w:val="00ED4AD6"/>
    <w:rsid w:val="00EE1AF6"/>
    <w:rsid w:val="00EE37E7"/>
    <w:rsid w:val="00EE644F"/>
    <w:rsid w:val="00F00021"/>
    <w:rsid w:val="00F12B76"/>
    <w:rsid w:val="00F16E29"/>
    <w:rsid w:val="00F2060B"/>
    <w:rsid w:val="00F70EF5"/>
    <w:rsid w:val="00F722D1"/>
    <w:rsid w:val="00F853F6"/>
    <w:rsid w:val="00F96C1E"/>
    <w:rsid w:val="00FB0DB8"/>
    <w:rsid w:val="00FC1FC4"/>
    <w:rsid w:val="00FC3ED1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4F78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4F7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9A4F78"/>
    <w:pPr>
      <w:widowControl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9A4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5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206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7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E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6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0A1BCCBBD326F970746AD44C5AB7D8D7173283EDE270AAA7AD7C3E19483D8AAD00DF78A7866B4716D4FB719E6A3E280F1FCF7EC5DCD8C930EEAFPCQ4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CAE6AFC48AED4789172064CCD4C8ECEA3F82042D8AB0CD3F09C8277A6D1C66641571702610D2A863725AA5DDAEFC85E6F6C707B65A90807E40525gFf4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E20DAD814CE0C4871C511E58C0A5D6F0D635B4AC8D74E1FF6C7023B7BAE3A0C0F9EDD8BA7FDB28241795A89B5BFB0DB98A6565A3A0D14B7DA009Fu9V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FBE20DAD814CE0C4871C511E58C0A5D6F0D635B4AC8D74E1FF6C7023B7BAE3A0C0F9EDD8BA7FDB28241795A89B5BFB0DB98A6565A3A0D14B7DA009Fu9V5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A1D3F5AC9E2C83E12B08CAB33ADA17DD762ECA683B77BABFE115C4C23ECDA3F3ADDD0452AA3F421F4CB1D502A715F7B45FC99B5Y7R2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OkknoOoVRuKxpuRVFsT96qsXTSJpaB5sdXFN0pLVtZY=</DigestValue>
    </Reference>
    <Reference URI="#idOfficeObject" Type="http://www.w3.org/2000/09/xmldsig#Object">
      <DigestMethod Algorithm="urn:ietf:params:xml:ns:cpxmlsec:algorithms:gostr34112012-256"/>
      <DigestValue>LjwrJR6/khur3h6qtPF9r+fRE/jtKsABMifV3q6YPqo=</DigestValue>
    </Reference>
  </SignedInfo>
  <SignatureValue>BakooZob7EXARUwS4M1M9hZ48H14Z6jyp06NP1ao1ootf/PGbM5fJYxWC3FjAWtK
i+t4eZdlSLebyBNmsyxBCQ==</SignatureValue>
  <KeyInfo>
    <X509Data>
      <X509Certificate>MIIIajCCCBegAwIBAgIUCVLAbJUNcqncHaPS3sj7MYesf4owCgYIKoUDBwEBAwIw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jNC90L7QtSDQutCw0LfQvdCw0YfQtdC50YHRgtCy0L4wHhcNMTkxMTI2MTQ1MzUz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A1UdDwEB/wQEAwID+DBSBgNVHSUESzBJBggrBgEFBQcDAQYIKwYBBQUHAwIGCCsG
AQUFBwMEBggqhQMCAQYIBQYMKoUDAz2e1zYBBgMCBggqhQMDgXsBAQYHKoUDA4F7
AzArBgNVHRAEJDAigA8yMDE5MTEyNjEzMTIwMVqBDzIwMjEwMjI2MTMxMjAxWjCC
AWAGA1UdIwSCAVcwggFTgBTA1tYKfWt+yY45vNqJ+q+ULFhajaGCASykggEoMIIB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gdC40LiCCwC18TLTAAAAAAFaMGwGA1UdHwRlMGMwMKAuoCyGKmh0dHA6Ly9jcmwu
cm9za2F6bmEucnUvY3JsL3VjZmtfZ29zdDEyLmNybDAvoC2gK4YpaHR0cDovL2Ny
bC5mc2ZrLmxvY2FsL2NybC91Y2ZrX2dvc3QxMi5jcmwwHQYDVR0OBBYEFKb426/h
9Zrzxey80wXPxjCJT/YhMAoGCCqFAwcBAQMCA0EASGWQXgF1SvhVjavlVqCUOzTT
3AbKpkSGC46eLivAj7UaWE2OYib8OChCygi+/QU8CrUFGcRFsVqn2xNKru6IYA==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5"/>
            <mdssi:RelationshipReference SourceId="rId19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zI3hV16Bjysv7uuDVSWL2+RYcfY=</DigestValue>
      </Reference>
      <Reference URI="/word/document.xml?ContentType=application/vnd.openxmlformats-officedocument.wordprocessingml.document.main+xml">
        <DigestMethod Algorithm="http://www.w3.org/2000/09/xmldsig#sha1"/>
        <DigestValue>e8ToVz6TjyP/Oh2i70hXpiftBP8=</DigestValue>
      </Reference>
      <Reference URI="/word/endnotes.xml?ContentType=application/vnd.openxmlformats-officedocument.wordprocessingml.endnotes+xml">
        <DigestMethod Algorithm="http://www.w3.org/2000/09/xmldsig#sha1"/>
        <DigestValue>U+vmuC4v7stf7EkQx0A8Fhn8UFY=</DigestValue>
      </Reference>
      <Reference URI="/word/fontTable.xml?ContentType=application/vnd.openxmlformats-officedocument.wordprocessingml.fontTable+xml">
        <DigestMethod Algorithm="http://www.w3.org/2000/09/xmldsig#sha1"/>
        <DigestValue>d4jQYkDGO6DHH0yaeCyhxOZWenE=</DigestValue>
      </Reference>
      <Reference URI="/word/footer1.xml?ContentType=application/vnd.openxmlformats-officedocument.wordprocessingml.footer+xml">
        <DigestMethod Algorithm="http://www.w3.org/2000/09/xmldsig#sha1"/>
        <DigestValue>kOhw8AtQHw8UNxxDQQ11/aAm1PI=</DigestValue>
      </Reference>
      <Reference URI="/word/footer2.xml?ContentType=application/vnd.openxmlformats-officedocument.wordprocessingml.footer+xml">
        <DigestMethod Algorithm="http://www.w3.org/2000/09/xmldsig#sha1"/>
        <DigestValue>7oREWG8Hnde1yyE9EELvH27l0yg=</DigestValue>
      </Reference>
      <Reference URI="/word/footer3.xml?ContentType=application/vnd.openxmlformats-officedocument.wordprocessingml.footer+xml">
        <DigestMethod Algorithm="http://www.w3.org/2000/09/xmldsig#sha1"/>
        <DigestValue>kOhw8AtQHw8UNxxDQQ11/aAm1PI=</DigestValue>
      </Reference>
      <Reference URI="/word/footnotes.xml?ContentType=application/vnd.openxmlformats-officedocument.wordprocessingml.footnotes+xml">
        <DigestMethod Algorithm="http://www.w3.org/2000/09/xmldsig#sha1"/>
        <DigestValue>cG+PXt6KSTL7N+EQAOTFgY0JwA8=</DigestValue>
      </Reference>
      <Reference URI="/word/header1.xml?ContentType=application/vnd.openxmlformats-officedocument.wordprocessingml.header+xml">
        <DigestMethod Algorithm="http://www.w3.org/2000/09/xmldsig#sha1"/>
        <DigestValue>UdZaz6yCZmgTN25HFsJMKTLk5cw=</DigestValue>
      </Reference>
      <Reference URI="/word/header2.xml?ContentType=application/vnd.openxmlformats-officedocument.wordprocessingml.header+xml">
        <DigestMethod Algorithm="http://www.w3.org/2000/09/xmldsig#sha1"/>
        <DigestValue>qUSaijn2RscwK/D956iADjLRZxo=</DigestValue>
      </Reference>
      <Reference URI="/word/header3.xml?ContentType=application/vnd.openxmlformats-officedocument.wordprocessingml.header+xml">
        <DigestMethod Algorithm="http://www.w3.org/2000/09/xmldsig#sha1"/>
        <DigestValue>UdZaz6yCZmgTN25HFsJMKTLk5cw=</DigestValue>
      </Reference>
      <Reference URI="/word/media/image1.png?ContentType=image/png">
        <DigestMethod Algorithm="http://www.w3.org/2000/09/xmldsig#sha1"/>
        <DigestValue>uxD1UfRtH5VkzPNzr7ZiqtR6EIE=</DigestValue>
      </Reference>
      <Reference URI="/word/numbering.xml?ContentType=application/vnd.openxmlformats-officedocument.wordprocessingml.numbering+xml">
        <DigestMethod Algorithm="http://www.w3.org/2000/09/xmldsig#sha1"/>
        <DigestValue>roWsAwq/bmWYDujeLpUsmfSehBM=</DigestValue>
      </Reference>
      <Reference URI="/word/settings.xml?ContentType=application/vnd.openxmlformats-officedocument.wordprocessingml.settings+xml">
        <DigestMethod Algorithm="http://www.w3.org/2000/09/xmldsig#sha1"/>
        <DigestValue>jdIe/3Q7MN6EF3uccL+fiYAPuKc=</DigestValue>
      </Reference>
      <Reference URI="/word/styles.xml?ContentType=application/vnd.openxmlformats-officedocument.wordprocessingml.styles+xml">
        <DigestMethod Algorithm="http://www.w3.org/2000/09/xmldsig#sha1"/>
        <DigestValue>T112lMgMO5ZTomOt12bvXBbwqUU=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2020-02-25T08:35:10Z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я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3C75F-FE9D-4AED-99AD-E64ED3CF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smikova</cp:lastModifiedBy>
  <cp:revision>115</cp:revision>
  <cp:lastPrinted>2020-02-21T09:45:00Z</cp:lastPrinted>
  <dcterms:created xsi:type="dcterms:W3CDTF">2020-02-21T12:16:00Z</dcterms:created>
  <dcterms:modified xsi:type="dcterms:W3CDTF">2020-02-25T07:50:00Z</dcterms:modified>
</cp:coreProperties>
</file>