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76" w:rsidRPr="003441FF" w:rsidRDefault="004E2176" w:rsidP="004E2176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4E2176" w:rsidRDefault="004E2176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2AF" w:rsidRDefault="00BA62AF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2AF" w:rsidRDefault="00BA62AF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5EB2" w:rsidRDefault="00865EB2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176" w:rsidRDefault="004E2176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2AF" w:rsidRPr="003441FF" w:rsidRDefault="00BA62AF" w:rsidP="00BA6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62AF" w:rsidRPr="003441FF" w:rsidRDefault="00BA62AF" w:rsidP="00BA6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C71CB8" w:rsidRDefault="00C71CB8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176" w:rsidRDefault="004E2176" w:rsidP="004E2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15EF" w:rsidRDefault="004E2176" w:rsidP="00B515EF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8D5">
        <w:rPr>
          <w:rFonts w:ascii="Times New Roman" w:hAnsi="Times New Roman" w:cs="Times New Roman"/>
          <w:sz w:val="28"/>
          <w:szCs w:val="28"/>
        </w:rPr>
        <w:t>О</w:t>
      </w:r>
      <w:r w:rsidR="00723A7F" w:rsidRPr="00B515EF">
        <w:rPr>
          <w:rFonts w:ascii="Times New Roman" w:hAnsi="Times New Roman" w:cs="Times New Roman"/>
          <w:sz w:val="28"/>
          <w:szCs w:val="28"/>
        </w:rPr>
        <w:t>б</w:t>
      </w:r>
      <w:r w:rsidR="00B515EF">
        <w:rPr>
          <w:rFonts w:ascii="Times New Roman" w:hAnsi="Times New Roman" w:cs="Times New Roman"/>
          <w:sz w:val="28"/>
          <w:szCs w:val="28"/>
        </w:rPr>
        <w:t xml:space="preserve"> утверждении П</w:t>
      </w:r>
      <w:r w:rsidRPr="007738D5">
        <w:rPr>
          <w:rFonts w:ascii="Times New Roman" w:hAnsi="Times New Roman" w:cs="Times New Roman"/>
          <w:sz w:val="28"/>
          <w:szCs w:val="28"/>
        </w:rPr>
        <w:t>орядк</w:t>
      </w:r>
      <w:r w:rsidR="00B515EF">
        <w:rPr>
          <w:rFonts w:ascii="Times New Roman" w:hAnsi="Times New Roman" w:cs="Times New Roman"/>
          <w:sz w:val="28"/>
          <w:szCs w:val="28"/>
        </w:rPr>
        <w:t>а</w:t>
      </w:r>
      <w:r w:rsidRPr="007738D5">
        <w:rPr>
          <w:rFonts w:ascii="Times New Roman" w:hAnsi="Times New Roman" w:cs="Times New Roman"/>
          <w:sz w:val="28"/>
          <w:szCs w:val="28"/>
        </w:rPr>
        <w:t xml:space="preserve"> </w:t>
      </w:r>
      <w:r w:rsidR="00B515EF">
        <w:rPr>
          <w:rFonts w:ascii="Times New Roman" w:hAnsi="Times New Roman" w:cs="Times New Roman"/>
          <w:sz w:val="28"/>
          <w:szCs w:val="28"/>
        </w:rPr>
        <w:t>о</w:t>
      </w:r>
      <w:r w:rsidR="00B51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ценки долговой устойчивости </w:t>
      </w:r>
    </w:p>
    <w:p w:rsidR="00B515EF" w:rsidRDefault="00B515EF" w:rsidP="00B515EF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</w:t>
      </w:r>
    </w:p>
    <w:p w:rsidR="004E2176" w:rsidRDefault="004E2176" w:rsidP="004E2176">
      <w:pPr>
        <w:pStyle w:val="ConsPlusTitle"/>
        <w:jc w:val="center"/>
      </w:pPr>
    </w:p>
    <w:p w:rsidR="004E2176" w:rsidRDefault="004E2176" w:rsidP="004E2176">
      <w:pPr>
        <w:pStyle w:val="ConsPlusNormal"/>
        <w:jc w:val="both"/>
      </w:pPr>
    </w:p>
    <w:p w:rsidR="00C71CB8" w:rsidRDefault="00C71CB8" w:rsidP="004E2176">
      <w:pPr>
        <w:pStyle w:val="ConsPlusNormal"/>
        <w:jc w:val="both"/>
      </w:pPr>
    </w:p>
    <w:p w:rsidR="004E2176" w:rsidRPr="00A67009" w:rsidRDefault="000F0CE8" w:rsidP="00A670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67009" w:rsidRPr="00A67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5" w:history="1">
        <w:r w:rsidR="00A67009" w:rsidRPr="00A6700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107.1</w:t>
        </w:r>
      </w:hyperlink>
      <w:r w:rsidR="00A67009" w:rsidRPr="00A67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A67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2176" w:rsidRPr="00A6700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</w:p>
    <w:p w:rsidR="004E2176" w:rsidRDefault="004E2176" w:rsidP="004E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C90" w:rsidRDefault="004E2176" w:rsidP="002C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F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FF">
        <w:rPr>
          <w:rFonts w:ascii="Times New Roman" w:hAnsi="Times New Roman" w:cs="Times New Roman"/>
          <w:sz w:val="28"/>
          <w:szCs w:val="28"/>
        </w:rPr>
        <w:t>т:</w:t>
      </w:r>
    </w:p>
    <w:p w:rsidR="002C4C90" w:rsidRDefault="002C4C90" w:rsidP="002C4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2DDE" w:rsidRDefault="004D2DDE" w:rsidP="002C4C9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176" w:rsidRPr="00FC36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E2176" w:rsidRPr="00FC36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4E2176" w:rsidRPr="00A570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E2176" w:rsidRPr="00FC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ценки долговой устойчивости </w:t>
      </w:r>
    </w:p>
    <w:p w:rsidR="004D2DDE" w:rsidRDefault="004D2DDE" w:rsidP="00D862FD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</w:t>
      </w:r>
      <w:r w:rsidR="00D86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4E2176" w:rsidRPr="00FC36FF" w:rsidRDefault="004E2176" w:rsidP="00D86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F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4D2DD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FC36FF">
        <w:rPr>
          <w:rFonts w:ascii="Times New Roman" w:hAnsi="Times New Roman" w:cs="Times New Roman"/>
          <w:sz w:val="28"/>
          <w:szCs w:val="28"/>
        </w:rPr>
        <w:t>.</w:t>
      </w:r>
    </w:p>
    <w:p w:rsidR="008D2CC7" w:rsidRDefault="008D2CC7"/>
    <w:p w:rsidR="004E2176" w:rsidRDefault="004E2176"/>
    <w:p w:rsidR="00D862FD" w:rsidRDefault="00D862FD"/>
    <w:p w:rsidR="004E2176" w:rsidRDefault="004E2176"/>
    <w:p w:rsidR="004E2176" w:rsidRDefault="004E2176" w:rsidP="004E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4E2176" w:rsidRPr="00C40073" w:rsidRDefault="004E2176" w:rsidP="004E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</w:p>
    <w:p w:rsidR="004E2176" w:rsidRPr="00C40073" w:rsidRDefault="004E2176" w:rsidP="004E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176" w:rsidRDefault="004E2176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Default="00813222"/>
    <w:p w:rsidR="00813222" w:rsidRPr="004B3C41" w:rsidRDefault="00813222" w:rsidP="00813222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3222" w:rsidRDefault="00813222" w:rsidP="0081322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4B3C41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3C41">
        <w:rPr>
          <w:rFonts w:ascii="Times New Roman" w:hAnsi="Times New Roman" w:cs="Times New Roman"/>
          <w:sz w:val="28"/>
          <w:szCs w:val="28"/>
        </w:rPr>
        <w:t xml:space="preserve">Кабинета </w:t>
      </w:r>
    </w:p>
    <w:p w:rsidR="00813222" w:rsidRPr="004B3C41" w:rsidRDefault="00813222" w:rsidP="0081322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3C41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813222" w:rsidRPr="004B3C41" w:rsidRDefault="00813222" w:rsidP="0081322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3C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</w:t>
      </w:r>
      <w:r w:rsidR="00D862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813222" w:rsidRDefault="00813222" w:rsidP="008132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222" w:rsidRDefault="00813222" w:rsidP="008132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222" w:rsidRPr="00E55E05" w:rsidRDefault="00813222" w:rsidP="00764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E05">
        <w:rPr>
          <w:rFonts w:ascii="Times New Roman" w:hAnsi="Times New Roman" w:cs="Times New Roman"/>
          <w:sz w:val="28"/>
          <w:szCs w:val="28"/>
        </w:rPr>
        <w:t>Порядок</w:t>
      </w:r>
    </w:p>
    <w:p w:rsidR="00813222" w:rsidRPr="00E55E05" w:rsidRDefault="00764470" w:rsidP="00764470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5E05">
        <w:rPr>
          <w:rFonts w:ascii="Times New Roman" w:hAnsi="Times New Roman" w:cs="Times New Roman"/>
          <w:b/>
          <w:sz w:val="28"/>
          <w:szCs w:val="28"/>
        </w:rPr>
        <w:t>о</w:t>
      </w:r>
      <w:r w:rsidRPr="00E55E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ценки долговой устойчивости муниципальных образований</w:t>
      </w:r>
    </w:p>
    <w:p w:rsidR="00764470" w:rsidRPr="004B3C41" w:rsidRDefault="00764470" w:rsidP="0076447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3EDD" w:rsidRDefault="00570D5C" w:rsidP="00A23ED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6" w:history="1">
        <w:r w:rsidRPr="00AD517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107.1</w:t>
        </w:r>
      </w:hyperlink>
      <w:r w:rsidRPr="00AD5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в целях обеспечения единого подхода к оценке долговой устойчивости муниципальных образований.</w:t>
      </w:r>
    </w:p>
    <w:p w:rsidR="00A23EDD" w:rsidRDefault="00570D5C" w:rsidP="00A23ED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Оценка долговой устойчивости муниципальных образований осуществляется Министерством финансов Республики Адыгея (далее - Министерство) на основании данных, представляемых финансовыми органами муниципальных образований по формам </w:t>
      </w:r>
      <w:r w:rsidRPr="00A23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7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hyperlink r:id="rId7" w:history="1">
        <w:r w:rsidRPr="00A23E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</w:t>
        </w:r>
        <w:r w:rsidR="007F4ED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№</w:t>
        </w:r>
        <w:r w:rsidRPr="00A23E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</w:t>
        </w:r>
      </w:hyperlink>
      <w:r w:rsidRPr="00A23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 (далее - данные для оценки).</w:t>
      </w:r>
      <w:bookmarkStart w:id="0" w:name="Par2"/>
      <w:bookmarkEnd w:id="0"/>
    </w:p>
    <w:p w:rsidR="00A23EDD" w:rsidRDefault="00570D5C" w:rsidP="00A23ED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Данные для оценки представляются:</w:t>
      </w:r>
    </w:p>
    <w:p w:rsidR="00265BAF" w:rsidRDefault="00570D5C" w:rsidP="00265BA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сельскими (городскими) поселениями - ежегодно не позднее </w:t>
      </w:r>
      <w:r w:rsidR="00A41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сентября в финансовый орган соответствующего муниципального района;</w:t>
      </w:r>
    </w:p>
    <w:p w:rsidR="005D32DF" w:rsidRDefault="00570D5C" w:rsidP="005D32D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финансовым органом муниципального района в отношении муниципального района и в отношении входящих в его состав муниципальных образований - ежегодно не позднее 10 сентября в Министерство в электронном виде;</w:t>
      </w:r>
    </w:p>
    <w:p w:rsidR="00947EA2" w:rsidRDefault="00570D5C" w:rsidP="00947EA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финансовыми органами городских округов - ежегодно не позднее </w:t>
      </w:r>
      <w:r w:rsidR="003360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сентября в Министерство в электронном виде.</w:t>
      </w:r>
    </w:p>
    <w:p w:rsidR="00570D5C" w:rsidRDefault="00570D5C" w:rsidP="00947EA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Оценка долговой устойчивости муниципального образования осуществляется Министерством на основании данных для оценки, представленных в соответствии </w:t>
      </w:r>
      <w:r w:rsidRPr="00947E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w:anchor="Par2" w:history="1">
        <w:r w:rsidRPr="00947E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</w:hyperlink>
      <w:r w:rsidRPr="00947E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с использованием показателей, указанных в </w:t>
      </w:r>
      <w:hyperlink r:id="rId8" w:history="1">
        <w:r w:rsidRPr="00947E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5 статьи 107.1</w:t>
        </w:r>
      </w:hyperlink>
      <w:r w:rsidRPr="00947E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ED48CF" w:rsidRDefault="00304D17" w:rsidP="00ED48C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D48CF">
        <w:rPr>
          <w:rFonts w:ascii="Times New Roman" w:eastAsiaTheme="minorHAnsi" w:hAnsi="Times New Roman" w:cs="Times New Roman"/>
          <w:sz w:val="28"/>
          <w:szCs w:val="28"/>
          <w:lang w:eastAsia="en-US"/>
        </w:rPr>
        <w:t>. Оценка долговой устойчивости проводится по данным за отчетный и текущий финансовые годы. Отнесение муниципального образования к группе долговой устойчивости производится по показателю, имеющему наибольшее значение (характеризующему худший результат).</w:t>
      </w:r>
    </w:p>
    <w:p w:rsidR="00E70D57" w:rsidRDefault="00ED5751" w:rsidP="00E70D5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Министерство ежегодно</w:t>
      </w:r>
      <w:r w:rsidR="00534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позднее 30 сентября,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оценку долговой устойчивости муниципальных образований с применением следующих показателей:</w:t>
      </w:r>
    </w:p>
    <w:p w:rsidR="00ED5751" w:rsidRDefault="00ED5751" w:rsidP="00E70D5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муниципального долга муниципального образования к общему объему доходов бюджета муниципального образования без учета безвозмездных поступлений (К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B5D3A" w:rsidRDefault="00ED5751" w:rsidP="003B5D3A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расходов на обслуживание муниципального долга муниципального образования в общем объеме расходов бюджета муниципального образования, за исключением объема расходов, которые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осуществляются за счет субвенций, предоставляемых из бюджетов бюджетной системы Российской Федерации (К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CB74C4" w:rsidRDefault="003B5D3A" w:rsidP="00CB74C4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D575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одовая сумма платежей по погашению и обслуживанию муниципального долга муниципального образования,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муниципального образования и дотаций из бюджетов бюджетной системы Российской Федерации (К3);</w:t>
      </w:r>
      <w:proofErr w:type="gramEnd"/>
    </w:p>
    <w:p w:rsidR="00304D17" w:rsidRDefault="00ED5751" w:rsidP="00304D1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4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краткосрочных долговых обязательств в общем объеме муниципального долга муниципального образования (К</w:t>
      </w:r>
      <w:proofErr w:type="gramStart"/>
      <w:r w:rsidRPr="00E224B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E224B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304D17" w:rsidRDefault="00110913" w:rsidP="00304D1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ar34" w:history="1">
        <w:r w:rsidR="00ED5751" w:rsidRPr="00304D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Методика</w:t>
        </w:r>
      </w:hyperlink>
      <w:r w:rsidR="00ED5751" w:rsidRPr="00304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D5751" w:rsidRPr="00304D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расчета значений показателей долговой устойчивости муниципальных образований</w:t>
      </w:r>
      <w:proofErr w:type="gramEnd"/>
      <w:r w:rsidR="00ED5751" w:rsidRPr="00304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приведена в приложении </w:t>
      </w:r>
      <w:r w:rsidR="00E22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ED5751" w:rsidRPr="00304D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Порядку.</w:t>
      </w:r>
      <w:bookmarkStart w:id="1" w:name="Par6"/>
      <w:bookmarkEnd w:id="1"/>
    </w:p>
    <w:p w:rsidR="00ED5751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По результатам проведения оценки долговой устойчивости муниципальные образования относятся Министерством к одной из следующих групп заемщиков:</w:t>
      </w:r>
    </w:p>
    <w:p w:rsidR="00ED5751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 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долговой устойчивости;</w:t>
      </w:r>
    </w:p>
    <w:p w:rsidR="00ED5751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</w:t>
      </w:r>
      <w:r w:rsidR="003465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долговой устойчивости;</w:t>
      </w:r>
    </w:p>
    <w:p w:rsidR="00D020CF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низки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</w:t>
      </w:r>
      <w:r w:rsidR="003465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E35BD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долговой устойчивости.</w:t>
      </w:r>
    </w:p>
    <w:p w:rsidR="00BC2487" w:rsidRDefault="00ED5751" w:rsidP="00BC248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Отнесение муниципального образования к группам заемщиков, указанным </w:t>
      </w:r>
      <w:r w:rsidRPr="00D02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w:anchor="Par6" w:history="1">
        <w:r w:rsidRPr="00D020C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осуществляется на основе значений показателей 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="00E31B5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К2 и К3 с учетом следующего:</w:t>
      </w:r>
    </w:p>
    <w:p w:rsidR="00ED5751" w:rsidRDefault="00ED5751" w:rsidP="00BC2487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группе заемщиков с высоким уровнем долговой устойчивости относится муниципальное образование, имеющее значения показателей долговой устойчивости в следующих пределах:</w:t>
      </w:r>
    </w:p>
    <w:p w:rsidR="00ED5751" w:rsidRPr="00135DF9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50 процентов - для показателя К</w:t>
      </w:r>
      <w:proofErr w:type="gramStart"/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более 25 процентов - для муниципального образования, в отношении которого осуществляются меры, предусмотренные </w:t>
      </w:r>
      <w:hyperlink r:id="rId9" w:history="1">
        <w:r w:rsidRPr="00135D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статьи 136</w:t>
        </w:r>
      </w:hyperlink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Федерации);</w:t>
      </w:r>
    </w:p>
    <w:p w:rsidR="00ED5751" w:rsidRDefault="00ED5751" w:rsidP="00135DF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5 процентов - для показателя 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D5751" w:rsidRDefault="00ED5751" w:rsidP="00135DF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13 процентов - для показателя К3;</w:t>
      </w:r>
    </w:p>
    <w:p w:rsidR="00ED5751" w:rsidRPr="00135DF9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к группе заемщиков с низким уровнем долговой устойчивости относится муниципальное образование, имеющее значения не менее 2 </w:t>
      </w:r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 долговой устойчивости, превышающие следующие уровни:</w:t>
      </w:r>
    </w:p>
    <w:p w:rsidR="00ED5751" w:rsidRPr="00135DF9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85 процентов - для показателя К</w:t>
      </w:r>
      <w:proofErr w:type="gramStart"/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(45 процентов - для муниципального образования, в отношении которого осуществляются меры, предусмотренные </w:t>
      </w:r>
      <w:hyperlink r:id="rId10" w:history="1">
        <w:r w:rsidRPr="00135D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статьи 136</w:t>
        </w:r>
      </w:hyperlink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Федерации);</w:t>
      </w:r>
    </w:p>
    <w:p w:rsidR="00ED5751" w:rsidRPr="00135DF9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8 процентов - для показателя К</w:t>
      </w:r>
      <w:proofErr w:type="gramStart"/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D5751" w:rsidRPr="00135DF9" w:rsidRDefault="00ED5751" w:rsidP="00135DF9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F9">
        <w:rPr>
          <w:rFonts w:ascii="Times New Roman" w:eastAsiaTheme="minorHAnsi" w:hAnsi="Times New Roman" w:cs="Times New Roman"/>
          <w:sz w:val="28"/>
          <w:szCs w:val="28"/>
          <w:lang w:eastAsia="en-US"/>
        </w:rPr>
        <w:t>18 процентов - для показателя К3;</w:t>
      </w:r>
    </w:p>
    <w:p w:rsidR="00ED5751" w:rsidRDefault="00ED5751" w:rsidP="00135DF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к группе заемщиков со средним уровнем долговой устойчивости относится муниципальное образование, не отнесенное к группам заемщиков с высоким или низким уровнем долговой устойчивости.</w:t>
      </w:r>
    </w:p>
    <w:p w:rsidR="00135DF9" w:rsidRDefault="00ED5751" w:rsidP="00135DF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9. Муниципальное образование, отнесенное к группе заемщиков с низким уровнем долговой устойчивости, может быть отнесено к группе заемщиков с высоким уровнем долговой устойчивости не ранее чем через 3 года после выхода из группы заемщиков с низким уровнем долговой устойчивости вне зависимости от фактических значений показателей 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К2 и К3.</w:t>
      </w:r>
    </w:p>
    <w:p w:rsidR="00ED5751" w:rsidRDefault="00ED5751" w:rsidP="00135DF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Перечень муниципальных образований, отнесенных к группам заемщиков, указанным </w:t>
      </w:r>
      <w:r w:rsidRPr="007A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w:anchor="Par6" w:history="1">
        <w:r w:rsidRPr="007A47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формируется Министерством не позднее 1 октября текущего финансового года и размещается на официальном сайте Министерства в информационно-телекоммуникационной сети </w:t>
      </w:r>
      <w:r w:rsidR="007A47C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7A47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формирования.</w:t>
      </w:r>
    </w:p>
    <w:p w:rsidR="00ED5751" w:rsidRDefault="00ED5751" w:rsidP="00135DF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858">
        <w:rPr>
          <w:rFonts w:ascii="Times New Roman" w:eastAsiaTheme="minorHAnsi" w:hAnsi="Times New Roman" w:cs="Times New Roman"/>
          <w:sz w:val="28"/>
          <w:szCs w:val="28"/>
          <w:lang w:eastAsia="en-US"/>
        </w:rPr>
        <w:t>11. Муниципальному образованию, у которого значение показателя К</w:t>
      </w:r>
      <w:proofErr w:type="gramStart"/>
      <w:r w:rsidRPr="00DF685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DF68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превышает 15 процентов, Министерством направляются рекомендации о необходимости корректировки проводимой долговой политики в целях снижения риска рефинансирования долговых обязательств муниципального образования.</w:t>
      </w:r>
    </w:p>
    <w:p w:rsidR="00ED5751" w:rsidRDefault="00ED5751" w:rsidP="00135DF9">
      <w:pPr>
        <w:widowControl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2DDE" w:rsidRDefault="00282DDE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7011" w:rsidRDefault="00ED7011" w:rsidP="00E71E47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90187F" w:rsidP="005B2436">
      <w:pPr>
        <w:widowControl/>
        <w:tabs>
          <w:tab w:val="left" w:pos="5245"/>
          <w:tab w:val="left" w:pos="5529"/>
        </w:tabs>
        <w:ind w:left="5387" w:hanging="538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</w:t>
      </w:r>
      <w:r w:rsidR="00ED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ED7011">
        <w:rPr>
          <w:rFonts w:ascii="Times New Roman" w:eastAsiaTheme="minorHAnsi" w:hAnsi="Times New Roman" w:cs="Times New Roman"/>
          <w:sz w:val="28"/>
          <w:szCs w:val="28"/>
          <w:lang w:eastAsia="en-US"/>
        </w:rPr>
        <w:t>№ 1</w:t>
      </w:r>
    </w:p>
    <w:p w:rsidR="006A6DC2" w:rsidRDefault="0090187F" w:rsidP="0090187F">
      <w:pPr>
        <w:widowControl/>
        <w:tabs>
          <w:tab w:val="left" w:pos="5529"/>
        </w:tabs>
        <w:ind w:left="5387" w:hanging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5B2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ED5751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</w:p>
    <w:p w:rsidR="00ED5751" w:rsidRDefault="0090187F" w:rsidP="0090187F">
      <w:pPr>
        <w:widowControl/>
        <w:tabs>
          <w:tab w:val="left" w:pos="5529"/>
        </w:tabs>
        <w:ind w:left="5387" w:hanging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6A6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ED575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долговой устойчивости</w:t>
      </w:r>
    </w:p>
    <w:p w:rsidR="00ED5751" w:rsidRDefault="0090187F" w:rsidP="0090187F">
      <w:pPr>
        <w:widowControl/>
        <w:tabs>
          <w:tab w:val="left" w:pos="5529"/>
        </w:tabs>
        <w:ind w:left="5387" w:hanging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5B2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ED575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</w:t>
      </w:r>
    </w:p>
    <w:p w:rsidR="00ED5751" w:rsidRDefault="00ED5751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1A55" w:rsidRDefault="00191A55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34"/>
      <w:bookmarkEnd w:id="2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Методика</w:t>
      </w: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расчета значений показателей долговой устойчивости</w:t>
      </w: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муниципальных образований </w:t>
      </w:r>
    </w:p>
    <w:p w:rsidR="00ED5751" w:rsidRDefault="00ED5751" w:rsidP="00ED575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CC30E3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Настоящая методика определяет порядок расчета значений показателей долговой устойчивости муниципальных образований (далее - показатели).</w:t>
      </w:r>
    </w:p>
    <w:p w:rsidR="00ED5751" w:rsidRDefault="00ED5751" w:rsidP="00CC30E3">
      <w:pPr>
        <w:widowControl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Значение показателя </w:t>
      </w:r>
      <w:r w:rsidR="00CC30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муниципального долга муниципального образования к общему объему доходов бюджета муниципального образования без учета безвозмездных поступлений</w:t>
      </w:r>
      <w:r w:rsidR="00CC30E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принимается равным максимальному значению показателя из полученных значений показателей К1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К1</w:t>
      </w:r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этом: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2762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показателя, рассчитанное на основе данных об исполнении бюджета муниципального образования по итогам завершенного отчетного финансового года (данные отчета об исполнении бюджета муниципального образования) и фактических данных о муниципальном долге муниципального образования по состоянию на 1 января отчетного финансового года из муниципальной долговой книги муниципального образования;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9056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ДолгОт</w:t>
      </w:r>
      <w:proofErr w:type="gramStart"/>
      <w:r w:rsidRPr="0069056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муниципального долга муниципального образования по состоянию на 1 января отчетного финансового года;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общий объем доходов бюджета муниципального образования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безвозмездных поступлений в бюджет муниципального образования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095E70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26003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1F3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proofErr w:type="gramStart"/>
      <w:r w:rsidRPr="00671F3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1</w:t>
      </w:r>
      <w:proofErr w:type="gramEnd"/>
      <w:r w:rsidRPr="00671F3C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показателя, рассчитанное на основе показателей бюджета муниципального образования на текущий финансовый год по данным решения о бюджете муниципального образования (в редакции, действующей по состоянию на 1 августа текущего финансового года) и фактических данных о муниципальном долге муниципального образования по состоянию на 1 января текущего финансового года из муниципальной долговой книги муниципального образования;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4629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ДолгТе</w:t>
      </w:r>
      <w:proofErr w:type="gramStart"/>
      <w:r w:rsidRPr="0094629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муниципального долга муниципального образования по состоянию на 1 января текущего финансового года;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</w:t>
      </w:r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общий объем доходов бюджета муниципального образования на текущий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</w:t>
      </w:r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безвозмездных поступлений в бюджет муниципального образования на текущий финансовый год.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Значение показателя </w:t>
      </w:r>
      <w:r w:rsidR="004365A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расходов на обслуживание муниципального долга муниципального образования в общем объеме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4365A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принимается равным максимальному значению показателя из полученных значений показателей К2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К2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095E70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этом: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32385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показателя, рассчитанное на основе данных об исполнении бюджета муниципального образования по итогам завершенного отчетного финансового года (данные отчета об исполнении бюджета муниципального образования);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15C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РОбслОб</w:t>
      </w:r>
      <w:proofErr w:type="gramStart"/>
      <w:r w:rsidRPr="00115C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щ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расходов на обслуживание муниципального долга муниципального образования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общий объем расходов бюджета муниципального образования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15C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РСуб</w:t>
      </w:r>
      <w:proofErr w:type="gramStart"/>
      <w:r w:rsidRPr="00115C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расходов бюджета муниципального образования,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бюджету муниципального образования субвенций по данным отчета об исполнении бюджета муниципального образования;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3028950" cy="657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</w:t>
      </w: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показателя, рассчитанное на основе показателей бюджета муниципального образования на текущий финансовый год по данным решения о бюджете муниципального образования (в редакции, действующей по состоянию на 1 августа текущего финансового года);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РОбслОб</w:t>
      </w: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щ</w:t>
      </w:r>
      <w:proofErr w:type="spell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расходов на обслуживание муниципального долга муниципального образования на текущий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общий объем расходов бюджета муниципального образования на текущий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РСуб</w:t>
      </w:r>
      <w:proofErr w:type="gramStart"/>
      <w:r w:rsidRPr="004C44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proofErr w:type="spell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расходов бюджета муниципального образования, осуществляемых за счет субвенций, на текущий финансовый год. Для расчетов принимается условие о равенстве расходов, осуществляемых за счет субвенций, объему предоставляемых бюджету муниципального образования субвенций по данным решения о бюджете муниципального образования.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</w:t>
      </w:r>
      <w:r w:rsidR="002A305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годовая сумма платежей по погашению и обслуживанию муниципального долга муниципального образования,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муниципального образования и дотаций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бюджетов бюджетной системы Российской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</w:t>
      </w:r>
      <w:r w:rsidR="002A305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(К3) принимается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максимальному значению показателя из полученных значений показателей К3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К3</w:t>
      </w:r>
      <w:r w:rsidRPr="004C4448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этом: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К3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095E70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3962400" cy="657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E7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К3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показателя, рассчитанное на основе данных об исполнении бюджета муниципального образования по итогам завершенного отчетного финансового года (данные отчета об исполнении бюджета муниципального образования) и данных муниципальной долговой книги муниципального образования;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РОбс</w:t>
      </w:r>
      <w:proofErr w:type="gram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фактический объем расходов на обслуживание муниципального долга муниципального образования, возникшего по состоянию на 1 января отчетного финансового года,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РПо</w:t>
      </w:r>
      <w:proofErr w:type="gram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фактический объем погашения муниципального долга муниципального образования,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ДНалНена</w:t>
      </w:r>
      <w:proofErr w:type="gram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налоговых и неналоговых доходов бюджета муниципального образования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</w:t>
      </w:r>
      <w:proofErr w:type="gramStart"/>
      <w:r w:rsidRPr="00FA38A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FA38AB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факт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дотаций, зачисленных в бюджет муниципального образования из других бюджетов бюджетной системы Российской Федерации, за отчетный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FA33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К3</w:t>
      </w:r>
      <w:r w:rsidRPr="00FA3312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рассчитывается по формуле:</w:t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3800475" cy="657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К3</w:t>
      </w:r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показателя, рассчитанное на основе показателей бюджета муниципального образования на текущий финансовый год по данным решения о бюджете муниципального образования (в редакции, действующей по состоянию на 1 августа текущего финансового года) и данных муниципальной долговой книги муниципального образования;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РОбс</w:t>
      </w:r>
      <w:proofErr w:type="gram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proofErr w:type="spell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плановый объем расходов на обслуживание муниципального долга муниципального образования, возникшего по состоянию на 1 января текущего финансового года, в текущем финансовом году;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РПо</w:t>
      </w:r>
      <w:proofErr w:type="gram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</w:t>
      </w:r>
      <w:proofErr w:type="spell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плановый объем погашения муниципального долга муниципального образования, возникшего по состоянию на 1 января текущего финансового года, в текущем финансовом году без учета платежей, направляемых на досрочное погашение долговых обязательств со сроками погашения после 1 января года, следующего за текущим финансовым годом;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ДНалНена</w:t>
      </w:r>
      <w:proofErr w:type="gram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proofErr w:type="spell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налоговых и неналоговых доходов бюджета муниципального образования на текущий финансовый год;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</w:t>
      </w:r>
      <w:proofErr w:type="gramStart"/>
      <w:r w:rsidRPr="00A51D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</w:t>
      </w:r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A51DDD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дотаций, зачисляемых в бюджет муниципального образования из других бюджетов бюджетной системы Российской Федерации, на текущий финансовый год.</w:t>
      </w:r>
    </w:p>
    <w:p w:rsidR="00ED5751" w:rsidRPr="00EF150E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Значение показателя </w:t>
      </w:r>
      <w:r w:rsidR="002A3059"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краткосрочных долговых обязательств в общем объеме муниципального долга муниципального образования</w:t>
      </w:r>
      <w:r w:rsidR="002A3059"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</w:t>
      </w:r>
      <w:proofErr w:type="gramStart"/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принимается равным максимальному значению показателя из полученных значений показателя, рассчитанных на основе данных о муниципальном долге муниципального образования по состоянию на 1 января, 1 апреля, 1 июля и 1 августа текущего финансового года из муниципальной долговой книги муниципального образования по формуле:</w:t>
      </w:r>
    </w:p>
    <w:p w:rsidR="00ED5751" w:rsidRPr="00EF150E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Pr="00EF150E" w:rsidRDefault="00ED5751" w:rsidP="00ED5751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50E">
        <w:rPr>
          <w:rFonts w:ascii="Times New Roman" w:eastAsiaTheme="minorHAns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2171700" cy="657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51" w:rsidRPr="00EF150E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Pr="00EF150E" w:rsidRDefault="00ED5751" w:rsidP="00ED575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D5751" w:rsidRPr="00EF150E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07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дата текущего финансового года (1 января, 1 апреля, 1 июля и 1 августа);</w:t>
      </w:r>
    </w:p>
    <w:p w:rsidR="00ED5751" w:rsidRPr="00EF150E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26A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КрДол</w:t>
      </w:r>
      <w:proofErr w:type="gramStart"/>
      <w:r w:rsidRPr="00126A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</w:t>
      </w:r>
      <w:proofErr w:type="spellEnd"/>
      <w:r w:rsidRPr="00D10074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(</w:t>
      </w:r>
      <w:proofErr w:type="gramEnd"/>
      <w:r w:rsidRPr="00D10074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т</w:t>
      </w:r>
      <w:r w:rsidRPr="00EF150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краткосрочных (менее одного года) долговых обязательств муниципального образования по состоянию на дату </w:t>
      </w:r>
      <w:r w:rsidRPr="00D1007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D5751" w:rsidRDefault="00ED5751" w:rsidP="00ED5751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6A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Дол</w:t>
      </w:r>
      <w:proofErr w:type="gramStart"/>
      <w:r w:rsidRPr="00126A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</w:t>
      </w:r>
      <w:r w:rsidRPr="00EF150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</w:t>
      </w:r>
      <w:proofErr w:type="gramEnd"/>
      <w:r w:rsidRPr="00D10074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т</w:t>
      </w:r>
      <w:r w:rsidRPr="00EF150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муниципального долга муниципального образования по состоянию на дату </w:t>
      </w:r>
      <w:r w:rsidRPr="00D1007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</w:t>
      </w:r>
      <w:r w:rsidRPr="00EF15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5751" w:rsidRDefault="00ED5751" w:rsidP="00ED575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751" w:rsidRDefault="00ED5751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6229" w:rsidRDefault="00BE6229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1F11" w:rsidRDefault="007B1F11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1F11" w:rsidRDefault="007B1F11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6229" w:rsidRDefault="00BE6229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6229" w:rsidRDefault="00BE6229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6040" w:rsidRDefault="00A16040" w:rsidP="00A16040">
      <w:pPr>
        <w:widowControl/>
        <w:tabs>
          <w:tab w:val="left" w:pos="5529"/>
        </w:tabs>
        <w:ind w:left="5387" w:hanging="538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40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Приложение № 2</w:t>
      </w:r>
    </w:p>
    <w:p w:rsidR="00EA0C5B" w:rsidRDefault="00A16040" w:rsidP="00A16040">
      <w:pPr>
        <w:widowControl/>
        <w:tabs>
          <w:tab w:val="left" w:pos="5529"/>
        </w:tabs>
        <w:ind w:left="5387" w:hanging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40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к Порядку</w:t>
      </w:r>
    </w:p>
    <w:p w:rsidR="00A16040" w:rsidRDefault="00A16040" w:rsidP="00A16040">
      <w:pPr>
        <w:widowControl/>
        <w:tabs>
          <w:tab w:val="left" w:pos="5529"/>
        </w:tabs>
        <w:ind w:left="5387" w:hanging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E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долговой устойчивости</w:t>
      </w:r>
    </w:p>
    <w:p w:rsidR="00A16040" w:rsidRDefault="00A16040" w:rsidP="00A16040">
      <w:pPr>
        <w:widowControl/>
        <w:tabs>
          <w:tab w:val="left" w:pos="5529"/>
        </w:tabs>
        <w:ind w:left="5387" w:hanging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40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муниципальных образований</w:t>
      </w:r>
    </w:p>
    <w:p w:rsidR="00A16040" w:rsidRPr="00947EA2" w:rsidRDefault="00A16040" w:rsidP="00A16040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6040" w:rsidRDefault="00A16040" w:rsidP="00A16040">
      <w:pPr>
        <w:pStyle w:val="ConsPlusNormal"/>
        <w:ind w:firstLine="709"/>
        <w:jc w:val="both"/>
      </w:pPr>
    </w:p>
    <w:p w:rsidR="00A16040" w:rsidRDefault="00A16040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16040" w:rsidSect="00D5430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81EB2" w:rsidRDefault="00281EB2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EB2" w:rsidRPr="006A7301" w:rsidRDefault="00281EB2" w:rsidP="00281EB2">
      <w:pPr>
        <w:widowControl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A7301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 1</w:t>
      </w:r>
    </w:p>
    <w:p w:rsidR="00281EB2" w:rsidRDefault="00281EB2" w:rsidP="00281EB2">
      <w:pPr>
        <w:widowControl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для проведения оценки состояния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долговой устойчивости _____________________________________________________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(</w:t>
      </w:r>
      <w:r w:rsidRPr="00001C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муниципального образования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данным годового отчета за __________</w:t>
      </w:r>
      <w:r w:rsidR="00A240B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(</w:t>
      </w:r>
      <w:r w:rsidRPr="00001C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отчетный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0715C5" w:rsidRPr="000715C5" w:rsidRDefault="000715C5" w:rsidP="000715C5">
      <w:pPr>
        <w:rPr>
          <w:rFonts w:eastAsiaTheme="minorHAnsi"/>
          <w:lang w:eastAsia="en-US"/>
        </w:rPr>
      </w:pPr>
    </w:p>
    <w:p w:rsidR="00670E87" w:rsidRDefault="00084FF4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70E87">
        <w:rPr>
          <w:rFonts w:ascii="Times New Roman" w:eastAsiaTheme="minorHAnsi" w:hAnsi="Times New Roman" w:cs="Times New Roman"/>
          <w:sz w:val="28"/>
          <w:szCs w:val="28"/>
          <w:lang w:eastAsia="en-US"/>
        </w:rPr>
        <w:t>ыс.</w:t>
      </w:r>
      <w:r w:rsidR="005534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0E8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708"/>
        <w:gridCol w:w="851"/>
        <w:gridCol w:w="1559"/>
        <w:gridCol w:w="1559"/>
        <w:gridCol w:w="851"/>
        <w:gridCol w:w="1276"/>
        <w:gridCol w:w="1559"/>
        <w:gridCol w:w="2268"/>
        <w:gridCol w:w="992"/>
        <w:gridCol w:w="1559"/>
      </w:tblGrid>
      <w:tr w:rsidR="00670E87" w:rsidRPr="00670E87" w:rsidTr="000715C5"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Объем поступлений налоговых доходов по дополнительным нормативам отчислений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Применение мер, предусмотренных</w:t>
            </w:r>
            <w:r w:rsidRPr="00670E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Pr="00670E8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4 статьи 136</w:t>
              </w:r>
            </w:hyperlink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 (да/нет)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Фактический объем погашения муниципального долга, возникший по состоянию на 1 января отчетного финансового года, без учета платежей, направленных на досрочное погашение долговых обязательств со сроком погашения после 1 января года, следующего за отчетным финансовым годом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Муниципальный долг на 1 января отчетного финансового года </w:t>
            </w:r>
          </w:p>
        </w:tc>
      </w:tr>
      <w:tr w:rsidR="000715C5" w:rsidRPr="00670E87" w:rsidTr="000715C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т.ч. безвозмездные поступления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т.ч. расходы на обслуживание муниципального долга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49B" w:rsidRPr="00670E87" w:rsidTr="000715C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долг по муниципальным гарантиям </w:t>
            </w:r>
          </w:p>
        </w:tc>
      </w:tr>
      <w:tr w:rsidR="0015649B" w:rsidRPr="00670E87" w:rsidTr="000715C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субвенции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фактический объем на обслуживание муниципального долга за отчетный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фактический объем расходов на обслуживание муниципального долга, возникший на 1 января отчетного финансового года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49B" w:rsidRPr="00670E87" w:rsidTr="000715C5">
        <w:trPr>
          <w:trHeight w:val="2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0E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 </w:t>
            </w:r>
          </w:p>
        </w:tc>
      </w:tr>
      <w:tr w:rsidR="0015649B" w:rsidRPr="00670E87" w:rsidTr="000715C5">
        <w:trPr>
          <w:trHeight w:val="1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7" w:rsidRPr="00670E87" w:rsidRDefault="00670E87" w:rsidP="00670E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0E87" w:rsidRDefault="00670E87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E87" w:rsidRDefault="00670E87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E87" w:rsidRDefault="00670E87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E87" w:rsidRDefault="00670E87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E87" w:rsidRDefault="00670E87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E87" w:rsidRDefault="00670E87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519D" w:rsidRDefault="001C519D" w:rsidP="00281EB2">
      <w:pPr>
        <w:pStyle w:val="ConsPlusNormal"/>
        <w:ind w:firstLine="709"/>
        <w:jc w:val="both"/>
      </w:pPr>
    </w:p>
    <w:p w:rsidR="00281EB2" w:rsidRPr="006A7301" w:rsidRDefault="00281EB2" w:rsidP="00281EB2">
      <w:pPr>
        <w:widowControl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A73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</w:p>
    <w:p w:rsidR="00281EB2" w:rsidRDefault="00281EB2" w:rsidP="00281EB2">
      <w:pPr>
        <w:widowControl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для проведения оценки состояния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долговой устойчивости _____________________________________________________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(</w:t>
      </w:r>
      <w:r w:rsidRPr="00001C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муниципального образования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данным </w:t>
      </w:r>
      <w:r w:rsidR="001C519D"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бюджете на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</w:t>
      </w:r>
      <w:r w:rsidR="00D07F0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281EB2" w:rsidRPr="00001CA4" w:rsidRDefault="00281EB2" w:rsidP="00281EB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(</w:t>
      </w:r>
      <w:r w:rsidR="001C519D" w:rsidRPr="00001CA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текущий</w:t>
      </w:r>
      <w:r w:rsidRPr="00001C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D01F1" w:rsidRDefault="00CD01F1" w:rsidP="00CD01F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"/>
        <w:gridCol w:w="567"/>
        <w:gridCol w:w="567"/>
        <w:gridCol w:w="1276"/>
        <w:gridCol w:w="1276"/>
        <w:gridCol w:w="709"/>
        <w:gridCol w:w="1417"/>
        <w:gridCol w:w="1276"/>
        <w:gridCol w:w="2126"/>
        <w:gridCol w:w="709"/>
        <w:gridCol w:w="850"/>
        <w:gridCol w:w="851"/>
        <w:gridCol w:w="850"/>
        <w:gridCol w:w="709"/>
        <w:gridCol w:w="851"/>
      </w:tblGrid>
      <w:tr w:rsidR="00CD01F1" w:rsidRPr="00CD01F1" w:rsidTr="00CD01F1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поступлений налоговых доходов по дополнительным нормативам отчислений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Применение мер, предусмотренных </w:t>
            </w:r>
            <w:hyperlink r:id="rId19" w:history="1">
              <w:r w:rsidRPr="00CD01F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4 статьи 136</w:t>
              </w:r>
            </w:hyperlink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 (да/нет)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Плановый объем погашения муниципального долга, возникшего по состоянию на 1 января текущего финансового, в текущем финансовом году без учета платежей, направляемых на досрочное погашение долговых обязательств со сроком погашения после 1 января года, следующего за текущим финансовым годом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Муниципальный долг на 1 января года, следующего за очередным финансовым годом 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краткосрочных обязательств </w:t>
            </w:r>
          </w:p>
        </w:tc>
      </w:tr>
      <w:tr w:rsidR="00CD01F1" w:rsidRPr="00CD01F1" w:rsidTr="00CD01F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безвозмездные поступления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расходы на обслуживание муниципального долга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01F1" w:rsidRPr="00CD01F1" w:rsidTr="00CD01F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5C6AB2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расходов на обслуживание муниципального долга муниципального образования на текущий финансовый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плановый объем расходов, возникший на 1 января текущего финансового года, в текущем финансовом году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по муниципальным гарантиям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1 января текущего финансового года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1 апреля текущего финансового года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1 июля текущего финансового года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1 августа текущего финансового года </w:t>
            </w:r>
          </w:p>
        </w:tc>
      </w:tr>
      <w:tr w:rsidR="00CD01F1" w:rsidRPr="00CD01F1" w:rsidTr="00CD01F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субвенции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01F1" w:rsidRPr="00CD01F1" w:rsidTr="00CD01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01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 </w:t>
            </w:r>
          </w:p>
        </w:tc>
      </w:tr>
      <w:tr w:rsidR="00CD01F1" w:rsidRPr="00CD01F1" w:rsidTr="00CD01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1" w:rsidRPr="00CD01F1" w:rsidRDefault="00CD01F1" w:rsidP="00CD01F1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6229" w:rsidRDefault="00BE6229" w:rsidP="00ED5751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7301" w:rsidRDefault="006A7301" w:rsidP="00570D5C">
      <w:pPr>
        <w:pStyle w:val="ConsPlusNormal"/>
        <w:ind w:firstLine="709"/>
        <w:jc w:val="both"/>
      </w:pPr>
    </w:p>
    <w:sectPr w:rsidR="006A7301" w:rsidSect="00281E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E2176"/>
    <w:rsid w:val="00001CA4"/>
    <w:rsid w:val="000715C5"/>
    <w:rsid w:val="00084FF4"/>
    <w:rsid w:val="00095BE0"/>
    <w:rsid w:val="00095E70"/>
    <w:rsid w:val="000F0CE8"/>
    <w:rsid w:val="00110913"/>
    <w:rsid w:val="00115C63"/>
    <w:rsid w:val="00126AEA"/>
    <w:rsid w:val="00135DF9"/>
    <w:rsid w:val="0015649B"/>
    <w:rsid w:val="00191A55"/>
    <w:rsid w:val="001C519D"/>
    <w:rsid w:val="0023464B"/>
    <w:rsid w:val="00265BAF"/>
    <w:rsid w:val="00281EB2"/>
    <w:rsid w:val="00282DDE"/>
    <w:rsid w:val="00291AC5"/>
    <w:rsid w:val="002A3059"/>
    <w:rsid w:val="002B192B"/>
    <w:rsid w:val="002C4C90"/>
    <w:rsid w:val="00304D17"/>
    <w:rsid w:val="00336083"/>
    <w:rsid w:val="0034653F"/>
    <w:rsid w:val="00386289"/>
    <w:rsid w:val="003B5D3A"/>
    <w:rsid w:val="00401BE7"/>
    <w:rsid w:val="004365A7"/>
    <w:rsid w:val="00473665"/>
    <w:rsid w:val="004B2BC2"/>
    <w:rsid w:val="004C4448"/>
    <w:rsid w:val="004D2DDE"/>
    <w:rsid w:val="004D428C"/>
    <w:rsid w:val="004D6DED"/>
    <w:rsid w:val="004E2176"/>
    <w:rsid w:val="00534D61"/>
    <w:rsid w:val="00553405"/>
    <w:rsid w:val="00563053"/>
    <w:rsid w:val="00570D5C"/>
    <w:rsid w:val="005B2436"/>
    <w:rsid w:val="005C6AB2"/>
    <w:rsid w:val="005D32DF"/>
    <w:rsid w:val="00631666"/>
    <w:rsid w:val="00640E7A"/>
    <w:rsid w:val="006517FD"/>
    <w:rsid w:val="00670E87"/>
    <w:rsid w:val="00671F3C"/>
    <w:rsid w:val="00690566"/>
    <w:rsid w:val="006A6DC2"/>
    <w:rsid w:val="006A7301"/>
    <w:rsid w:val="006C6B10"/>
    <w:rsid w:val="00711E2B"/>
    <w:rsid w:val="00723A7F"/>
    <w:rsid w:val="00746036"/>
    <w:rsid w:val="007516F1"/>
    <w:rsid w:val="00764470"/>
    <w:rsid w:val="007A47C5"/>
    <w:rsid w:val="007B1F11"/>
    <w:rsid w:val="007F4ED8"/>
    <w:rsid w:val="00813222"/>
    <w:rsid w:val="00865EB2"/>
    <w:rsid w:val="00876557"/>
    <w:rsid w:val="008D2CC7"/>
    <w:rsid w:val="008E35BD"/>
    <w:rsid w:val="0090187F"/>
    <w:rsid w:val="00901D61"/>
    <w:rsid w:val="00946297"/>
    <w:rsid w:val="00947EA2"/>
    <w:rsid w:val="009F6A9F"/>
    <w:rsid w:val="00A16040"/>
    <w:rsid w:val="00A23EDD"/>
    <w:rsid w:val="00A240B6"/>
    <w:rsid w:val="00A41080"/>
    <w:rsid w:val="00A51DDD"/>
    <w:rsid w:val="00A67009"/>
    <w:rsid w:val="00AD517B"/>
    <w:rsid w:val="00B515EF"/>
    <w:rsid w:val="00B62998"/>
    <w:rsid w:val="00B804B8"/>
    <w:rsid w:val="00BA62AF"/>
    <w:rsid w:val="00BC2487"/>
    <w:rsid w:val="00BE6229"/>
    <w:rsid w:val="00C63208"/>
    <w:rsid w:val="00C71CB8"/>
    <w:rsid w:val="00C97C88"/>
    <w:rsid w:val="00CB74C4"/>
    <w:rsid w:val="00CC30E3"/>
    <w:rsid w:val="00CD01F1"/>
    <w:rsid w:val="00D020CF"/>
    <w:rsid w:val="00D07363"/>
    <w:rsid w:val="00D07F08"/>
    <w:rsid w:val="00D10074"/>
    <w:rsid w:val="00D5430C"/>
    <w:rsid w:val="00D66F0C"/>
    <w:rsid w:val="00D862FD"/>
    <w:rsid w:val="00D94219"/>
    <w:rsid w:val="00DF6858"/>
    <w:rsid w:val="00E224B3"/>
    <w:rsid w:val="00E27A53"/>
    <w:rsid w:val="00E31B5C"/>
    <w:rsid w:val="00E55E05"/>
    <w:rsid w:val="00E70D57"/>
    <w:rsid w:val="00E71E47"/>
    <w:rsid w:val="00EA0C5B"/>
    <w:rsid w:val="00ED48CF"/>
    <w:rsid w:val="00ED5751"/>
    <w:rsid w:val="00ED7011"/>
    <w:rsid w:val="00EF150E"/>
    <w:rsid w:val="00F347C7"/>
    <w:rsid w:val="00FA0D1A"/>
    <w:rsid w:val="00FA3312"/>
    <w:rsid w:val="00F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A3974A75F4EB4EBA93686421965FBC8A3A365B46C5A55D4E9F6E642D533166435413B7445EB25318AD43BAF5001FE87F245CBA3E8H7p9J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0C8C3C44D44928586CCF653543FF62A54D9229108D2EED0397925AD20B9411AB8AE4D127D83A8A175828BEA438BBF45B14D7A03F8D05ZEs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1A3974A75F4EB4EBA9288B54753EF6C2ADFC68B268590A8BB6ADBB15DC3941237A187D3249E92E65DB9968A90552A4D2FA5ACBBDEA7CFE61D322HBp3J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1A3974A75F4EB4EBA93686421965FBC8A3A365B46C5A55D4E9F6E642D533166435413B7444E125318AD43BAF5001FE87F245CBA3E8H7p9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B123012876E8F50B2D6951758958E37A8C16887AD809DB2BF27D25654ADBECEAB11ABCD1BB10615E53FBA7C8B006AE77F80A382A8335N2X8J" TargetMode="Externa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77C10C4B7CB3274C05AD4F601CB255FE6112B9545F304A6689DCB97DE9F33958D9260D2C87856A9849950734D203ED38FCAF7B7A5C39U0D2K" TargetMode="External"/><Relationship Id="rId19" Type="http://schemas.openxmlformats.org/officeDocument/2006/relationships/hyperlink" Target="consultantplus://offline/ref=D37CD678454FB28A2624CC9619FF633FFA17BB2ACDAF90D59E9193DAD75A790931EF7D832ADEB84829AD891EAC25F1FC0476A3504820LA3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10C4B7CB3274C05AD4F601CB255FE6112B9545F304A6689DCB97DE9F33958D9260D2C87856A9849950734D203ED38FCAF7B7A5C39U0D2K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7842-ACDE-47B1-AC19-F46BC350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138</cp:revision>
  <cp:lastPrinted>2020-05-15T12:33:00Z</cp:lastPrinted>
  <dcterms:created xsi:type="dcterms:W3CDTF">2020-05-12T09:12:00Z</dcterms:created>
  <dcterms:modified xsi:type="dcterms:W3CDTF">2020-05-15T12:38:00Z</dcterms:modified>
</cp:coreProperties>
</file>