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Проект                                    </w:t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16"/>
        </w:rPr>
      </w:pP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5960" cy="709930"/>
                <wp:effectExtent l="19050" t="0" r="889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5960" cy="709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0pt;height:55.9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color w:val="000000" w:themeColor="text1"/>
          <w:sz w:val="16"/>
        </w:rPr>
      </w:r>
    </w:p>
    <w:p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МИНИСТЕРСТВО ФИНАНСОВ РЕСПУБЛИКИ АДЫГЕЯ</w:t>
      </w:r>
      <w:r>
        <w:rPr>
          <w:color w:val="000000" w:themeColor="text1"/>
          <w:sz w:val="22"/>
          <w:szCs w:val="22"/>
        </w:rPr>
      </w:r>
    </w:p>
    <w:p>
      <w:pPr>
        <w:pStyle w:val="697"/>
        <w:jc w:val="center"/>
        <w:rPr>
          <w:rFonts w:ascii="Times New Roman" w:hAnsi="Times New Roman" w:cs="Times New Roman"/>
          <w:b w:val="0"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 w:val="0"/>
          <w:color w:val="000000" w:themeColor="text1"/>
          <w:sz w:val="52"/>
          <w:szCs w:val="52"/>
        </w:rPr>
        <w:t xml:space="preserve">П</w:t>
      </w:r>
      <w:r>
        <w:rPr>
          <w:rFonts w:ascii="Times New Roman" w:hAnsi="Times New Roman" w:cs="Times New Roman"/>
          <w:b w:val="0"/>
          <w:color w:val="000000" w:themeColor="text1"/>
          <w:sz w:val="52"/>
          <w:szCs w:val="52"/>
        </w:rPr>
        <w:t xml:space="preserve"> Р И К А З</w:t>
      </w:r>
      <w:r>
        <w:rPr>
          <w:rFonts w:ascii="Times New Roman" w:hAnsi="Times New Roman" w:cs="Times New Roman"/>
          <w:b w:val="0"/>
          <w:color w:val="000000" w:themeColor="text1"/>
          <w:sz w:val="52"/>
          <w:szCs w:val="52"/>
        </w:rPr>
      </w:r>
    </w:p>
    <w:p>
      <w:pPr>
        <w:jc w:val="center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от  _____________                                                                            № _______</w:t>
      </w:r>
      <w:r>
        <w:rPr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color w:val="000000" w:themeColor="text1"/>
          <w:sz w:val="28"/>
          <w:szCs w:val="22"/>
        </w:rPr>
      </w:pPr>
      <w:r>
        <w:rPr>
          <w:color w:val="000000" w:themeColor="text1"/>
        </w:rPr>
        <w:t xml:space="preserve">г. Майкоп</w:t>
      </w:r>
      <w:r>
        <w:rPr>
          <w:color w:val="000000" w:themeColor="text1"/>
          <w:sz w:val="28"/>
          <w:szCs w:val="22"/>
        </w:rPr>
      </w:r>
    </w:p>
    <w:p>
      <w:pPr>
        <w:jc w:val="center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90"/>
        <w:gridCol w:w="4373"/>
      </w:tblGrid>
      <w:tr>
        <w:tblPrEx/>
        <w:trPr>
          <w:trHeight w:val="1990"/>
        </w:trPr>
        <w:tc>
          <w:tcPr>
            <w:tcW w:w="5103" w:type="dxa"/>
            <w:textDirection w:val="lrTb"/>
            <w:noWrap w:val="false"/>
          </w:tcPr>
          <w:p>
            <w:pPr>
              <w:pStyle w:val="695"/>
              <w:jc w:val="both"/>
              <w:spacing w:before="0" w:line="276" w:lineRule="auto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О внесении изменений в приказ Министерства финансов Республики Адыгея от 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8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февраля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 202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4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 г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ода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 № 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18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-А 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Об утверждении требований к закупаемым Министерством финансов Республики Адыгея и государственным казенным учреждением Республики Адыгея 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Централизованная бухгалтерия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»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 отдельным видам товаров, работ, услуг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»</w:t>
            </w:r>
            <w:r>
              <w:rPr>
                <w:rFonts w:ascii="Times New Roman" w:hAnsi="Times New Roman"/>
                <w:b w:val="0"/>
                <w:color w:val="000000" w:themeColor="text1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В соответствии с пунктом 16 </w:t>
      </w:r>
      <w:r>
        <w:rPr>
          <w:rFonts w:eastAsia="Calibri"/>
          <w:bCs/>
          <w:color w:val="000000" w:themeColor="text1"/>
          <w:sz w:val="28"/>
          <w:szCs w:val="28"/>
        </w:rPr>
        <w:t xml:space="preserve">Требований к порядку разработки и принятия правовых актов о нормировании в сфере закупок для обеспечения нужд Республики Адыгея, содержанию указанных актов и обеспечению их исполнения</w:t>
      </w:r>
      <w:r>
        <w:rPr>
          <w:color w:val="000000" w:themeColor="text1"/>
          <w:sz w:val="28"/>
          <w:szCs w:val="28"/>
        </w:rPr>
        <w:t xml:space="preserve">, утвержденных </w:t>
      </w:r>
      <w:r>
        <w:rPr>
          <w:rFonts w:eastAsia="Calibri"/>
          <w:color w:val="000000" w:themeColor="text1"/>
          <w:sz w:val="28"/>
          <w:szCs w:val="28"/>
        </w:rPr>
        <w:t xml:space="preserve">постановлением Кабинета Министров Республики Адыгея от 30 декабря 2015 г</w:t>
      </w:r>
      <w:r>
        <w:rPr>
          <w:rFonts w:eastAsia="Calibri"/>
          <w:color w:val="000000" w:themeColor="text1"/>
          <w:sz w:val="28"/>
          <w:szCs w:val="28"/>
        </w:rPr>
        <w:t xml:space="preserve">ода</w:t>
      </w:r>
      <w:r>
        <w:rPr>
          <w:rFonts w:eastAsia="Calibri"/>
          <w:color w:val="000000" w:themeColor="text1"/>
          <w:sz w:val="28"/>
          <w:szCs w:val="28"/>
        </w:rPr>
        <w:t xml:space="preserve"> № 312 </w:t>
      </w:r>
      <w:r>
        <w:rPr>
          <w:rFonts w:eastAsia="Calibri"/>
          <w:color w:val="000000" w:themeColor="text1"/>
          <w:sz w:val="28"/>
          <w:szCs w:val="28"/>
        </w:rPr>
        <w:t xml:space="preserve">«</w:t>
      </w:r>
      <w:r>
        <w:rPr>
          <w:rFonts w:eastAsia="Calibri"/>
          <w:color w:val="000000" w:themeColor="text1"/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закупок для обеспечения нужд</w:t>
      </w:r>
      <w:r>
        <w:rPr>
          <w:rFonts w:eastAsia="Calibri"/>
          <w:color w:val="000000" w:themeColor="text1"/>
          <w:sz w:val="28"/>
          <w:szCs w:val="28"/>
        </w:rPr>
        <w:t xml:space="preserve"> Республики Адыгея, содержанию указанных актов и обеспечению их исполнения</w:t>
      </w:r>
      <w:r>
        <w:rPr>
          <w:rFonts w:eastAsia="Calibri"/>
          <w:color w:val="000000" w:themeColor="text1"/>
          <w:sz w:val="28"/>
          <w:szCs w:val="28"/>
        </w:rPr>
        <w:t xml:space="preserve">»</w:t>
      </w:r>
      <w:r>
        <w:rPr>
          <w:rFonts w:eastAsia="Calibri"/>
          <w:color w:val="000000" w:themeColor="text1"/>
          <w:sz w:val="28"/>
          <w:szCs w:val="28"/>
        </w:rPr>
        <w:t xml:space="preserve">,</w:t>
      </w:r>
      <w:r>
        <w:rPr>
          <w:rFonts w:eastAsia="Calibri"/>
          <w:color w:val="000000" w:themeColor="text1"/>
          <w:sz w:val="28"/>
          <w:szCs w:val="28"/>
        </w:rPr>
      </w:r>
    </w:p>
    <w:p>
      <w:pPr>
        <w:jc w:val="both"/>
        <w:spacing w:line="276" w:lineRule="auto"/>
        <w:tabs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</w:t>
      </w:r>
      <w:r>
        <w:rPr>
          <w:color w:val="000000" w:themeColor="text1"/>
          <w:sz w:val="28"/>
          <w:szCs w:val="28"/>
        </w:rPr>
        <w:t xml:space="preserve"> и к а </w:t>
      </w:r>
      <w:r>
        <w:rPr>
          <w:color w:val="000000" w:themeColor="text1"/>
          <w:sz w:val="28"/>
          <w:szCs w:val="28"/>
        </w:rPr>
        <w:t xml:space="preserve">з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ы</w:t>
      </w:r>
      <w:r>
        <w:rPr>
          <w:color w:val="000000" w:themeColor="text1"/>
          <w:sz w:val="28"/>
          <w:szCs w:val="28"/>
        </w:rPr>
        <w:t xml:space="preserve"> в а ю:</w:t>
      </w:r>
      <w:r>
        <w:rPr>
          <w:color w:val="000000" w:themeColor="text1"/>
          <w:sz w:val="28"/>
          <w:szCs w:val="28"/>
        </w:rPr>
      </w:r>
    </w:p>
    <w:p>
      <w:pPr>
        <w:pStyle w:val="704"/>
        <w:ind w:left="720" w:firstLine="0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6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изменения в Требования к закупаемым Министерством финансов Республики Адыгея</w:t>
      </w:r>
      <w:r>
        <w:rPr>
          <w:color w:val="000000" w:themeColor="text1"/>
          <w:sz w:val="28"/>
          <w:szCs w:val="28"/>
        </w:rPr>
        <w:t xml:space="preserve"> и подведомственным ему государственным казенным учреждением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Республики Адыгея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Централизованная бухгалтерия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отдельным  видам товаров, работ, услуг (в том числе </w:t>
      </w:r>
      <w:r>
        <w:rPr>
          <w:color w:val="000000" w:themeColor="text1"/>
          <w:sz w:val="28"/>
          <w:szCs w:val="28"/>
        </w:rPr>
        <w:t xml:space="preserve">предельные цены товаров, работ, услуг), </w:t>
      </w:r>
      <w:r>
        <w:rPr>
          <w:color w:val="000000" w:themeColor="text1"/>
          <w:sz w:val="28"/>
          <w:szCs w:val="28"/>
        </w:rPr>
        <w:t xml:space="preserve">утвержденны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приказом 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Министерства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финансов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Республики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Адыгея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февраля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года </w:t>
      </w:r>
      <w:r>
        <w:rPr>
          <w:color w:val="000000" w:themeColor="text1"/>
          <w:sz w:val="28"/>
          <w:szCs w:val="28"/>
        </w:rPr>
      </w:r>
    </w:p>
    <w:p>
      <w:pPr>
        <w:pStyle w:val="706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 xml:space="preserve">18</w:t>
      </w:r>
      <w:r>
        <w:rPr>
          <w:color w:val="000000" w:themeColor="text1"/>
          <w:sz w:val="28"/>
          <w:szCs w:val="28"/>
        </w:rPr>
        <w:t xml:space="preserve">-А, изложив </w:t>
      </w:r>
      <w:r>
        <w:rPr>
          <w:color w:val="000000" w:themeColor="text1"/>
          <w:sz w:val="28"/>
          <w:szCs w:val="28"/>
        </w:rPr>
        <w:t xml:space="preserve">их</w:t>
      </w:r>
      <w:r>
        <w:rPr>
          <w:color w:val="000000" w:themeColor="text1"/>
          <w:sz w:val="28"/>
          <w:szCs w:val="28"/>
        </w:rPr>
        <w:t xml:space="preserve"> в новой редакции согласно приложению к настоящему приказу. </w:t>
      </w:r>
      <w:r>
        <w:rPr>
          <w:color w:val="000000" w:themeColor="text1"/>
          <w:sz w:val="28"/>
          <w:szCs w:val="28"/>
        </w:rPr>
      </w:r>
    </w:p>
    <w:p>
      <w:pPr>
        <w:ind w:left="57" w:firstLine="652"/>
        <w:jc w:val="both"/>
        <w:spacing w:line="276" w:lineRule="auto"/>
        <w:tabs>
          <w:tab w:val="left" w:pos="0" w:leader="none"/>
          <w:tab w:val="left" w:pos="567" w:leader="none"/>
        </w:tabs>
        <w:rPr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2. Отделу системно-технического и материального обеспечения </w:t>
      </w:r>
      <w:r>
        <w:rPr>
          <w:color w:val="000000" w:themeColor="text1"/>
          <w:sz w:val="28"/>
          <w:szCs w:val="28"/>
        </w:rPr>
        <w:t xml:space="preserve">разместить</w:t>
      </w:r>
      <w:r>
        <w:rPr>
          <w:color w:val="000000" w:themeColor="text1"/>
          <w:sz w:val="28"/>
          <w:szCs w:val="28"/>
        </w:rPr>
        <w:t xml:space="preserve"> настоящий приказ в единой информационной системе в сфере закупок.</w:t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ind w:hanging="731"/>
        <w:jc w:val="both"/>
        <w:spacing w:line="276" w:lineRule="auto"/>
        <w:tabs>
          <w:tab w:val="left" w:pos="709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Настоящий приказ вступает в силу с момента его подписания.</w:t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276" w:lineRule="auto"/>
        <w:tabs>
          <w:tab w:val="left" w:pos="709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за</w:t>
      </w:r>
      <w:r>
        <w:rPr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  <w:r>
        <w:rPr>
          <w:color w:val="000000" w:themeColor="text1"/>
          <w:sz w:val="28"/>
          <w:szCs w:val="2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04"/>
        <w:ind w:left="108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4"/>
        <w:ind w:left="108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4"/>
        <w:ind w:left="108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4"/>
        <w:ind w:firstLine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4"/>
        <w:ind w:firstLine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Республики Адыгея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4"/>
        <w:ind w:firstLine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финансов Республики Адыгея                                         В.Н. Орлов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4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4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4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Приложение</w:t>
      </w:r>
      <w:r>
        <w:rPr>
          <w:rFonts w:eastAsia="Calibri"/>
          <w:bCs/>
          <w:color w:val="000000" w:themeColor="text1"/>
          <w:sz w:val="28"/>
          <w:szCs w:val="28"/>
        </w:rPr>
        <w:t xml:space="preserve"> к приказу</w:t>
      </w:r>
      <w:r>
        <w:rPr>
          <w:rFonts w:eastAsia="Calibri"/>
          <w:bCs/>
          <w:color w:val="000000" w:themeColor="text1"/>
          <w:sz w:val="28"/>
          <w:szCs w:val="28"/>
        </w:rPr>
      </w:r>
    </w:p>
    <w:p>
      <w:pPr>
        <w:jc w:val="right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 Министерства финансов</w:t>
      </w:r>
      <w:r>
        <w:rPr>
          <w:rFonts w:eastAsia="Calibri"/>
          <w:bCs/>
          <w:color w:val="000000" w:themeColor="text1"/>
          <w:sz w:val="28"/>
          <w:szCs w:val="28"/>
        </w:rPr>
      </w:r>
    </w:p>
    <w:p>
      <w:pPr>
        <w:jc w:val="right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 Республики Адыгея</w:t>
      </w:r>
      <w:r>
        <w:rPr>
          <w:rFonts w:eastAsia="Calibri"/>
          <w:bCs/>
          <w:color w:val="000000" w:themeColor="text1"/>
          <w:sz w:val="28"/>
          <w:szCs w:val="28"/>
        </w:rPr>
      </w:r>
    </w:p>
    <w:p>
      <w:pPr>
        <w:jc w:val="right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 от ____________ № __________</w:t>
      </w:r>
      <w:r>
        <w:rPr>
          <w:rFonts w:eastAsia="Calibri"/>
          <w:bCs/>
          <w:color w:val="000000" w:themeColor="text1"/>
          <w:sz w:val="28"/>
          <w:szCs w:val="28"/>
        </w:rPr>
      </w:r>
    </w:p>
    <w:p>
      <w:pPr>
        <w:jc w:val="right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</w:r>
      <w:r>
        <w:rPr>
          <w:rFonts w:eastAsia="Calibri"/>
          <w:bCs/>
          <w:color w:val="000000" w:themeColor="text1"/>
          <w:sz w:val="28"/>
          <w:szCs w:val="28"/>
        </w:rPr>
      </w:r>
    </w:p>
    <w:p>
      <w:pPr>
        <w:jc w:val="right"/>
        <w:rPr>
          <w:rFonts w:eastAsiaTheme="minorHAnsi"/>
          <w:color w:val="000000" w:themeColor="text1"/>
          <w:sz w:val="28"/>
          <w:szCs w:val="28"/>
        </w:rPr>
        <w:outlineLvl w:val="0"/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«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Приложение</w:t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jc w:val="right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 п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риказ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у</w:t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jc w:val="right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Министерства финансов</w:t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jc w:val="right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Республики Адыгея</w:t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jc w:val="right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8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февраля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202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ода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18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-А</w:t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jc w:val="center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</w:r>
      <w:r>
        <w:rPr>
          <w:rFonts w:eastAsia="Calibri"/>
          <w:bCs/>
          <w:color w:val="000000" w:themeColor="text1"/>
          <w:sz w:val="28"/>
          <w:szCs w:val="28"/>
        </w:rPr>
      </w:r>
    </w:p>
    <w:p>
      <w:pPr>
        <w:ind w:left="0" w:right="0" w:firstLine="0"/>
        <w:spacing w:before="0" w:after="0" w:line="525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Требования</w:t>
        <w:br/>
        <w:t xml:space="preserve">к закупаемым Министерством финансов Республики Адыгея и подведомственным ему государственным казенным учреждением Республики Адыгея отдельным видам товаров, работ, услуг (в том числе предельные цены товаров, работ, услуг)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7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3"/>
        <w:gridCol w:w="503"/>
        <w:gridCol w:w="108"/>
        <w:gridCol w:w="759"/>
        <w:gridCol w:w="108"/>
        <w:gridCol w:w="688"/>
        <w:gridCol w:w="7"/>
        <w:gridCol w:w="553"/>
        <w:gridCol w:w="832"/>
        <w:gridCol w:w="13"/>
        <w:gridCol w:w="426"/>
        <w:gridCol w:w="479"/>
        <w:gridCol w:w="534"/>
        <w:gridCol w:w="513"/>
        <w:gridCol w:w="11"/>
        <w:gridCol w:w="287"/>
        <w:gridCol w:w="459"/>
        <w:gridCol w:w="545"/>
        <w:gridCol w:w="15"/>
        <w:gridCol w:w="494"/>
        <w:gridCol w:w="581"/>
        <w:gridCol w:w="19"/>
        <w:gridCol w:w="576"/>
        <w:gridCol w:w="37"/>
        <w:gridCol w:w="1614"/>
        <w:gridCol w:w="1125"/>
        <w:gridCol w:w="317"/>
        <w:gridCol w:w="317"/>
        <w:gridCol w:w="1250"/>
        <w:gridCol w:w="494"/>
        <w:gridCol w:w="439"/>
        <w:gridCol w:w="216"/>
        <w:gridCol w:w="27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</w:t>
              <w:br/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Код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3" w:tooltip="https://internet.garant.ru/#/document/70650730/entry/0" w:history="1">
              <w:r>
                <w:rPr>
                  <w:rStyle w:val="71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ОКПД2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Наименование отдельного вида товаров, работ,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характеристикам, утвержденные Кабинетом Министров Республики Адыгея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характеристикам, утвержденные Министерством финансов Республики Адыгея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Код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4" w:tooltip="https://internet.garant.ru/#/document/179222/entry/0" w:history="1">
              <w:r>
                <w:rPr>
                  <w:rStyle w:val="71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ОКЕИ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Характеристика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Значение характеристики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Характеристика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3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Значение характеристики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Обоснование отклонения значения характеристики от утвержденной Кабинетом Министров Республики Адыгея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Функциональное назначение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Министерство финансов Республики Адыгея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ГКУ РА «ЦБ»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«руководители»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«специалисты»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2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«обеспечивающие специалисты»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«руководители»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«специалисты»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«обеспечивающие специалисты»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должности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Должности категории «специалисты»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Министр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должности/начальник управления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Министр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должности/начальник управления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gridSpan w:val="3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Отдельные виды товаров, работ, услуг, включенные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5" w:tooltip="https://internet.garant.ru/#/document/43600574/entry/1200" w:history="1">
              <w:r>
                <w:rPr>
                  <w:rStyle w:val="71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приложением № 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 правилам определения требований к закупаемым государственными органами Республики Адыгея, органом управления Территориальным фондом обязательного медицинского страхования Республики Адыгея, их территориальными органами и подведомственными им государствен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ными казенными учреждениями Республики Адыгея, государственными бюджетными учреждениями Республики Адыгея и государственными унитарными предприятиями Республики Адыгея отдельным видам товаров, работ, услуг (в том числе предельные цены товаров, работ,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), утвержденным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6" w:tooltip="https://internet.garant.ru/#/document/43600574/entry/0" w:history="1">
              <w:r>
                <w:rPr>
                  <w:rStyle w:val="71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Кабинета Министров Республики Адыгея от 30 декабря 2015 года № 311 «О Правилах определения требований к закупаемым государственными органами Республики Адыгея, органом управления Территориальным фондом обязательного медицинского страхования Республики Адыг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ея, их территориальными органами и подведомственными им государственными казенными учреждениями Республики Адыгея, государственными бюджетными учреждениями Республики Адыгея и государственными унитарными предприятиями Республики Адыгея отдельным видам това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ров, работ, услуг (в том числе предельные цены товаров, работ, услуг)»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26.20.11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Компьютеры портативные массой не более 10 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буемой продукции: ноутбуки, планшетные компьютеры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4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Планшетный компьютер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экрана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экрана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экрана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экрана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OLED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OLED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0,8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0,8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2-ядерного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гигагерц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2,4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гигабайт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гигабайт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64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Wi-Fi, Bluetooth, поддержки 3G, (UMTS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Wi-Fi, Bluetooth, поддержки 3G, (UMTS)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Wi-Fi, Bluetooth, поддержки 3G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Wi-Fi, Bluetooth, поддержки 3G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60000,00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50000,00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25000,00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25000,00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Ноутбук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экрана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экрана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экрана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экрана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OLED, IPS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OLED, IPS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OLED, IPS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гигагерц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2,3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1,1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1,1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гигабайт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гигабайт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512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HDD, SSD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HDD, SSD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HDD, SSD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Wi-Fi, Bluetooth, поддержки 3G, (UMTS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Wi-Fi, Bluetooth, поддержки 3G, (UMTS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Wi-Fi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80000,00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80000,00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26.20.15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одукции: компьютеры персональные настольные, рабочие станции вывода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(моноблок/системный блок и монитор)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(моноблок/системный блок и монитор)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системный блок и монитор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системный блок и монитор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системный блок и монитор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системный блок и монитор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экрана/монитора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экрана/монитора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4-ядерного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гигагерц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гигабайт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гигабайт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750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750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HDD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DVD+/-RW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DVD+/-RW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DVD+/-RW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DVD+/-RW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интегрированный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предустановленный пакет офисных программ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предустановленный пакет офисных программ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предустановленный пакет офисных программ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предустановленный пакет офисных программ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65000,00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65000,00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65000,00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65000,00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26.20.16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Принтеры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метод печати (струйный/лазерный)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метод печати (струйный/лазерный)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цветность (цветной/черно-белый)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цветность (цветной/черно-белый)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максимальный формат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максимальный формат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A4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A4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A4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A4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16 стр. в мин.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16 стр. в мин.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16 стр. в мин.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16 стр. в мин.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дополнительных модулей и интерфейсов (сетевой интерфейс, устройства чтения карт памяти и т.д.)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дополнительных модулей и интерфейсов (сетевой интерфейс, устройства чтения карт памяти и т.д.)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модуля двусторонней печати, сетевого интерфейса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модуля двусторонней печати, сетевого интерфейса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модуля двусторонней печати, сетевого интерфейса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модуля двусторонней печати, сетевого интерфейса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52866,67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25000,00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25000,00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16100,00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26.30.11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Аппаратура коммуникационная передающая с приемными устройствами. Пояснения по требуемой продукции: телефоны мобильные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устройства (телефон/смартфон)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 устройства (телефон/ смартфон)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телефон/смартфон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телефон/смартфон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телефон/смартфон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поддерживаемые стандарты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поддерживаемые стандарты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10 (в режиме разговора) не менее 200 (в режиме ожидания)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8 (в режиме разговора)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8 (в режиме разговора)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метод управления (сенсорный/кнопочный)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метод управления (сенсорный/кнопочный)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сенсорный/кнопочный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сенсорный/кнопочный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сенсорный/кнопочный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количество SIM-карт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количество SIM-карт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менее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и интерфейсов (Wi-Fi, Bluetooth, USB, GPS)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модулей и интерфейсов (Wi-Fi, Bluetooth, USB, GPS)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Wi-Fi, Bluetooth, USB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Wi-Fi, Bluetooth, USB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наличие Wi-Fi, Bluetooth, USB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15000,00/-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7000,00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29.10.22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Средства транспортные с двигателем с искровым зажиганием, с рабочим объемом цилиндров более 1500 см3, новые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лошадиная сила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мощность двигателя, комплектация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мощность двигателя, комплектация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130, обивка сидений тканью, кондиционер, передние стеклоподъемники с электроприводом, подогрев передних сидений, фронтальные подушки безопасности, антиблокировочная система тормозов (ABS)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2000000,00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1500000,00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700000,00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31.01.11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Мебель металлическая для офисов. Пояснения по требуемой продукции: мебель для сидения, преимущественно с металлическим каркасом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материал (металл), обивочные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ткань; возможные значения: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материал (металл), обивочные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ткань; возможные значения: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ткань; возможные значения: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ткань; возможные значения: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47430,00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28666,67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15100,00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15100,00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21371,00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15100,00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15100,00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31.01.12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Мебель деревянная для офисов. Пояснения по требуемой продукции: мебель для сидения, преимущественно с деревянным каркасом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материал (вид древесины)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мягколиственных пород: береза, лиственница, сосна, ель/ возможные значения: древесина хвойных и мягколиственных пород: береза, 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иственница, сосна, 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возможные значения: древесина хвойных и мягколиственных пород: береза. лиственница, сосна, 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материал (вид древесины)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мягколиственных пород: береза, лиственница, сосна, ель/ возможные значения: древесина хвойных и мягколиственных пород: береза, 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иственница, сосна, 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возможные значения: древесина хвойных и мягколиственных пород: береза, лиственница, сосна, 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обивочные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материалы/ предельное значение: искусственная кожа. Возможные значения: мебельный (искусственны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й) мех,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ткань, возможное значение: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обивочные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материалы/ предельное значение: искусственная кожа. Возможные значения: мебельный (искусственны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й) мех,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ткань, возможное значение: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ткань, возможное значение: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предельное значение - ткань, возможное значение: нетканые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8800,00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8800,00/8125,00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4066,67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3800,00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2880,00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2880,00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58.29.13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2041594,67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3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58.29.21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Совместимость с системами межведомственного электронного документооборота (МЭДО) (да/нет)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Совместимость с системами межведомственного электронного документооборота (МЭДО) (да/нет)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Поддерживаемые типы данных, текстовые и графические возможности приложения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Поддерживаемые типы данных, текстовые и графические возможности приложения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текстовые, числовые, графические, табличные типы данных; возможности создания, просмотра, модификации и печати текстовых документов, вставки изображения, добавления фигур, вставки анимации, показа слайдов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7" w:tooltip="https://internet.garant.ru/#/document/12148567/entry/0" w:history="1">
              <w:r>
                <w:rPr>
                  <w:rStyle w:val="71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Федеральному закону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персональных данных» приложений, содержащих персональные данные (да/нет)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8" w:tooltip="https://internet.garant.ru/#/document/12148567/entry/0" w:history="1">
              <w:r>
                <w:rPr>
                  <w:rStyle w:val="71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Федеральному закону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персональных данных» приложений, содержащих персональные данные (да/нет)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22266,67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58.29.31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доступность на русском языке интерфейса конфигурирования средств информационной безопасности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доступность на русском языке интерфейса конфигурирования средств информационной безопасности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совместимость с программными продуктами, функционирующими в Министерстве финансов Республики Адыгея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11458,33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5 786,67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61.20.11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тарификация услуги голосовой связи, доступа в информационно-телекоммуникационную сеть «Интернет» (лимитная/безлимитная)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тарификация услуги голосовой связи, доступа в информационно-телекоммуникационную сеть «Интернет» (лимитная/безлимитная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лимитная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лимитная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лимитная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лимитная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доступной услуги голосовой связи (минут), доступа в информационно-телекоммуникационную сеть «Интернет» (Гб)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 доступной услуги голосовой связи (минут), доступа в информационно-телекоммуникационную сеть «Интернет» (Гб)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2000 в месяц Не более 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500 в месяц Не более 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1000 в месяц Не более 4,5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1000 в месяц Не более 4,5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Гбайт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1000,00 в месяц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500,00 в месяц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500,00 в месяц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300,00 в месяц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61.90.10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Мбит/с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максимальная скорость соединения в информационно-телекоммуникационной сети «Интернет»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максимальная скорость соединения в информационно-телекоммуникационной сети «Интернет»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19 066,66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4997,30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Дополнительный перечень отдельных видов товаров, работ, услуг Министерства финансов Республики Адыгея и ему подведомственной организации ГКУ РА «Централизованная бухгалтерия»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64.19.21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Оказание финансовых услуг по предоставлению кредита республиканскому бюджету Республики Адыгея в виде невозобновляемой (возобновляемой) кредитной линии для частичного покрытия дефицита бюджета и (или) погашения долговых обязательств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срок действия кредита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3 (трех)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лимит выдачи/задолженности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государственных внутренних заимствований Республики Адыгея путем привлечения в республиканский бюджет Республики Адыгея кредитов от кредитных организаций в валюте Российской Федерации определяется в пределах объема бюджетных ассигнований, предусмотр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енных по источникам финансирования дефицита республиканского бюджета Республики Адыгея на привлечение кредитов от кредитных организаций в валюте Российской Федерации на соответствующий год, утвержденного Законом Республики Адыгея о республиканском бюджете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Республики Адыгея на соответствующий год и плановый период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размер годовой процентной ставки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более чем уровень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19" w:tooltip="https://internet.garant.ru/#/document/10180094/entry/100" w:history="1">
              <w:r>
                <w:rPr>
                  <w:rStyle w:val="71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ключевой ставки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установленный центральным банком Российской Федерации, увеличенный на 3,5 процента годовых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дополнительные комиссии и иные платежи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допускается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дополнительные требования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кредит предоставляется без права требования страхования ответственности заказчика; за неиспользованный полностью и (или) частично лимит кредита штрафы, неустойки и иные платежи не взимаются; погашение кредита - исходя из фактической суммы полученного креди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та. Кредит может быть погашен досрочно полностью и (или) частично только по решению заказчика с уведомлением кредитной организации в определенный заказчиком срок. За досрочное полное и (или) частичное погашение кредита штрафы, неустойки и иные платежи не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зимаются; погашение процентов по кредиту - осуществляется ежемесячно, исходя из фактической суммы полученного кредита и фактических дней пользования кредитом. Списание задолженности заказчика в безакцептном порядке со счета республиканского бюджета, в том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числе в случае нарушения им условий государственного контракта, не производится.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случае невозобновляемой кредитной линии (фиксированная или плавающая процентная ставка):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Предельная цена финансовой услуги (S) рассчитывается по формуле: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S = </w:t>
            </w:r>
            <m:oMath>
              <m:nary>
                <m:naryPr>
                  <m:chr m:val="∑"/>
                  <m:grow m:val="off"/>
                  <m:limLoc m:val="undOvr"/>
                  <m:ctrlPr>
                    <w:rPr>
                      <w:rFonts w:hint="default" w:ascii="Cambria Math" w:hAnsi="Cambria Math" w:eastAsia="Cambria Math" w:cs="Cambria Math"/>
                      <w:i/>
                      <w:color w:val="000000" w:themeColor="text1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eastAsia="Cambria Math" w:cs="Cambria Math"/>
                    </w:rPr>
                    <m:rPr/>
                    <m:t>i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=1</m:t>
                  </m:r>
                </m:sub>
                <m:sup>
                  <m:r>
                    <w:rPr>
                      <w:rFonts w:hint="default" w:ascii="Cambria Math" w:hAnsi="Cambria Math" w:eastAsia="Cambria Math" w:cs="Cambria Math"/>
                      <w:color w:val="000000" w:themeColor="text1"/>
                      <w:sz w:val="20"/>
                      <w:szCs w:val="20"/>
                    </w:rPr>
                    <m:rPr>
                      <m:sty m:val="i"/>
                    </m:rPr>
                    <m:t>n</m:t>
                  </m:r>
                </m:sup>
                <m:e>
                  <m:r>
                    <w:rPr>
                      <w:rFonts w:hint="default" w:ascii="Cambria Math" w:hAnsi="Cambria Math" w:eastAsia="Cambria Math" w:cs="Cambria Math"/>
                      <w:color w:val="000000" w:themeColor="text1"/>
                      <w:sz w:val="20"/>
                      <w:szCs w:val="20"/>
                    </w:rPr>
                    <m:rPr>
                      <m:sty m:val="i"/>
                    </m:rPr>
                    <m:t>(</m:t>
                  </m:r>
                  <m:sSub>
                    <m:sSubPr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 w:themeColor="text1"/>
                          <w:sz w:val="20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color w:val="000000" w:themeColor="text1"/>
                          <w:sz w:val="20"/>
                          <w:szCs w:val="20"/>
                        </w:rP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color w:val="000000" w:themeColor="text1"/>
                          <w:sz w:val="20"/>
                          <w:szCs w:val="20"/>
                        </w:rP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w:rPr>
                      <w:rFonts w:hint="default" w:ascii="Cambria Math" w:hAnsi="Cambria Math" w:eastAsia="Cambria Math" w:cs="Cambria Math"/>
                      <w:color w:val="000000" w:themeColor="text1"/>
                      <w:sz w:val="20"/>
                      <w:szCs w:val="20"/>
                    </w:rPr>
                    <m:rPr>
                      <m:sty m:val="i"/>
                    </m:rPr>
                    <m:t>×</m:t>
                  </m:r>
                  <m:f>
                    <m:fPr>
                      <m:ctrlPr>
                        <w:rPr>
                          <w:rFonts w:hint="default" w:ascii="Cambria Math" w:hAnsi="Cambria Math" w:eastAsia="Cambria Math" w:cs="Cambria Math"/>
                          <w:i/>
                          <w:color w:val="000000" w:themeColor="text1"/>
                          <w:sz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hint="default" w:ascii="Cambria Math" w:hAnsi="Cambria Math" w:eastAsia="Cambria Math" w:cs="Cambria Math"/>
                              <w:caps w:val="0"/>
                              <w:smallCaps w:val="0"/>
                              <w:strike w:val="0"/>
                              <w:color w:val="000000" w:themeColor="text1"/>
                              <w:spacing w:val="0"/>
                              <w:position w:val="0"/>
                              <w:sz w:val="20"/>
                              <w:szCs w:val="20"/>
                              <w:highlight w:val="none"/>
                              <w:u w:val="none"/>
                              <w:vertAlign w:val="baseline"/>
                              <w:lang w:val="ru-RU" w:eastAsia="ru-RU" w:bidi="ar-SA"/>
                              <w14:ligatures w14:val="none"/>
                            </w:rP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hint="default" w:ascii="Cambria Math" w:hAnsi="Cambria Math" w:eastAsia="Cambria Math" w:cs="Cambria Math"/>
                              <w:caps w:val="0"/>
                              <w:smallCaps w:val="0"/>
                              <w:strike w:val="0"/>
                              <w:color w:val="000000" w:themeColor="text1"/>
                              <w:spacing w:val="0"/>
                              <w:position w:val="0"/>
                              <w:sz w:val="20"/>
                              <w:szCs w:val="20"/>
                              <w:highlight w:val="none"/>
                              <w:u w:val="none"/>
                              <w:vertAlign w:val="baseline"/>
                              <w:lang w:val="ru-RU" w:eastAsia="ru-RU" w:bidi="ar-SA"/>
                              <w14:ligatures w14:val="none"/>
                            </w:rPr>
                            <m:rPr>
                              <m:sty m:val="i"/>
                            </m:rPr>
                            <m:t>K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den>
                  </m:f>
                  <m:r>
                    <w:rPr>
                      <w:rFonts w:hint="default" w:ascii="Cambria Math" w:hAnsi="Cambria Math" w:eastAsia="Cambria Math" w:cs="Cambria Math"/>
                      <w:color w:val="000000" w:themeColor="text1"/>
                      <w:sz w:val="20"/>
                      <w:szCs w:val="20"/>
                    </w:rPr>
                    <m:rPr>
                      <m:sty m:val="i"/>
                    </m:rPr>
                    <m:t>)</m:t>
                  </m:r>
                </m:e>
              </m:nary>
            </m:oMath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S - предельная цена финансовой услуги в рублях;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лимит выдачи кредита;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процентная ставка на дату размещения извещения об осуществлении закупки (ПСт = КлСт + НБ, где КлСт 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20" w:tooltip="https://internet.garant.ru/#/document/10180094/entry/100" w:history="1">
              <w:r>
                <w:rPr>
                  <w:rStyle w:val="71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ключевая ставка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Центрального Банка России, НБ - надбавка).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K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фактическое количество календарных дней в году, на который приходится день i;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i - соответствующий календарный день, за который на сумму фактической задолженности по кредиту начисляются проценты за пользование кредитом;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n - количество дней пользования кредитом за период с даты первой выдачи кредита (не включая эту дату) по дату полного погашения кредита по окончании срока действия кредитной линии, либо по дату полного погашения кредита, осуществленного ранее срока погашен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ия кредита (включительно) по государственному контракту.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случае возобновляемой кредитной линии: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1. Плавающая процентная ставка: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МЗЦК = </w:t>
            </w:r>
            <m:oMath>
              <m:nary>
                <m:naryPr>
                  <m:chr m:val="∑"/>
                  <m:grow m:val="off"/>
                  <m:limLoc m:val="undOvr"/>
                  <m:ctrlPr>
                    <w:rPr>
                      <w:rFonts w:hint="default" w:ascii="Cambria Math" w:hAnsi="Cambria Math" w:eastAsia="Cambria Math" w:cs="Cambria Math"/>
                      <w:i/>
                      <w:color w:val="000000" w:themeColor="text1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eastAsia="Cambria Math" w:cs="Cambria Math"/>
                    </w:rPr>
                    <m:rPr/>
                    <m:t>i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=1</m:t>
                  </m:r>
                </m:sub>
                <m:sup>
                  <m:r>
                    <w:rPr>
                      <w:rFonts w:hint="default" w:ascii="Cambria Math" w:hAnsi="Cambria Math" w:eastAsia="Cambria Math" w:cs="Cambria Math"/>
                      <w:color w:val="000000" w:themeColor="text1"/>
                      <w:sz w:val="20"/>
                      <w:szCs w:val="20"/>
                    </w:rPr>
                    <m:rPr>
                      <m:sty m:val="i"/>
                    </m:rPr>
                    <m:t>n</m:t>
                  </m:r>
                </m:sup>
                <m:e>
                  <m:f>
                    <m:fPr>
                      <m:ctrlPr>
                        <w:rPr>
                          <w:rFonts w:hint="default" w:ascii="Cambria Math" w:hAnsi="Cambria Math" w:eastAsia="Cambria Math" w:cs="Cambria Math"/>
                          <w:i/>
                          <w:strike w:val="0"/>
                          <w:color w:val="000000" w:themeColor="text1"/>
                          <w:sz w:val="20"/>
                          <w:highlight w:val="none"/>
                          <w:u w:val="none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Cambria Math" w:cs="Cambria Math"/>
                            </w:rPr>
                            <m:rPr/>
                            <m:t>ОСЗ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w:rPr>
                          <w:rFonts w:hint="default" w:ascii="Cambria Math" w:hAnsi="Cambria Math" w:eastAsia="Cambria Math" w:cs="Cambria Math"/>
                          <w:caps w:val="0"/>
                          <w:smallCaps w:val="0"/>
                          <w:strike w:val="0"/>
                          <w:color w:val="000000" w:themeColor="text1"/>
                          <w:spacing w:val="0"/>
                          <w:position w:val="0"/>
                          <w:sz w:val="20"/>
                          <w:szCs w:val="20"/>
                          <w:highlight w:val="none"/>
                          <w:u w:val="none"/>
                          <w:vertAlign w:val="baseline"/>
                          <w:lang w:val="ru-RU" w:eastAsia="ru-RU" w:bidi="ar-SA"/>
                          <w14:ligatures w14:val="none"/>
                        </w:rPr>
                        <m:rPr/>
                        <m:t>×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Cambria Math" w:cs="Cambria Math"/>
                            </w:rPr>
                            <m:rPr/>
                            <m:t>ППС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hint="default" w:ascii="Cambria Math" w:hAnsi="Cambria Math" w:eastAsia="Cambria Math" w:cs="Cambria Math"/>
                              <w:caps w:val="0"/>
                              <w:smallCaps w:val="0"/>
                              <w:strike w:val="0"/>
                              <w:color w:val="000000" w:themeColor="text1"/>
                              <w:spacing w:val="0"/>
                              <w:position w:val="0"/>
                              <w:sz w:val="20"/>
                              <w:szCs w:val="20"/>
                              <w:highlight w:val="none"/>
                              <w:u w:val="none"/>
                              <w:vertAlign w:val="baseline"/>
                              <w:lang w:val="ru-RU" w:eastAsia="ru-RU" w:bidi="ar-SA"/>
                              <w14:ligatures w14:val="none"/>
                            </w:rP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den>
                  </m:f>
                </m:e>
              </m:nary>
            </m:oMath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МЗЦК - максимальное значение цены контракта в рублях;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i - соответствующий календарный день, за который на сумму фактической задолженности по кредиту начисляются проценты за пользование кредитом;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остаток лимита предоставления кредита (лимита задолженности) по кредиту на начало дня i, в рублях;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размер плавающей процентной ставки, установленной в соответствии с формулой (1) на день i, в процентах годовых;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фактическое количество календарных дней в году, на который приходится день i;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n - количество дней пользования кредитом за период с даты первой выдачи кредита (не включая эту дату) по дату полного погашения кредита по окончании срока действия кредитной линии, либо по дату полного погашения кредита, осуществленного ранее срока погашен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ия кредита (включительно) по государственному контракту.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(1) ППС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=КС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i - соответствующий календарный день, за который на сумму фактической задолженности по кредиту начисляются проценты за пользование кредитом;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размер плавающей процентной ставки, устанавливаемой на день i, в процентах годовых;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размер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21" w:tooltip="https://internet.garant.ru/#/document/10180094/entry/100" w:history="1">
              <w:r>
                <w:rPr>
                  <w:rStyle w:val="71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ключевой ставки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Банка России, действующей на день i, в процентах годовых;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 - надбавка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22" w:tooltip="https://internet.garant.ru/#/document/10180094/entry/100" w:history="1">
              <w:r>
                <w:rPr>
                  <w:rStyle w:val="71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ключевой ставке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Банка России, определенная по итогам электронного аукциона в процентах годовых. Надбавка рассчитывается исходя из значения цены контракта, определенного по итогам открытого аукциона в электронной форме и ключевой ставки Банка России, действующей на дату 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ъявления открытого аукциона в электронной форме.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2. Фиксированная процентная ставка: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ПЦ = </w:t>
            </w:r>
            <m:oMath>
              <m:nary>
                <m:naryPr>
                  <m:chr m:val="∑"/>
                  <m:grow m:val="off"/>
                  <m:limLoc m:val="undOvr"/>
                  <m:ctrlPr>
                    <w:rPr>
                      <w:rFonts w:hint="default" w:ascii="Cambria Math" w:hAnsi="Cambria Math" w:eastAsia="Cambria Math" w:cs="Cambria Math"/>
                      <w:i/>
                      <w:color w:val="000000" w:themeColor="text1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eastAsia="Cambria Math" w:cs="Cambria Math"/>
                    </w:rPr>
                    <m:rPr/>
                    <m:t>i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=1</m:t>
                  </m:r>
                </m:sub>
                <m:sup>
                  <m:r>
                    <w:rPr>
                      <w:rFonts w:hint="default" w:ascii="Cambria Math" w:hAnsi="Cambria Math" w:eastAsia="Cambria Math" w:cs="Cambria Math"/>
                      <w:color w:val="000000" w:themeColor="text1"/>
                      <w:sz w:val="20"/>
                      <w:szCs w:val="20"/>
                    </w:rPr>
                    <m:rPr>
                      <m:sty m:val="i"/>
                    </m:rPr>
                    <m:t>n</m:t>
                  </m:r>
                </m:sup>
                <m:e>
                  <m:f>
                    <m:fPr>
                      <m:ctrlPr>
                        <w:rPr>
                          <w:rFonts w:hint="default" w:ascii="Cambria Math" w:hAnsi="Cambria Math" w:eastAsia="Cambria Math" w:cs="Cambria Math"/>
                          <w:i/>
                          <w:strike w:val="0"/>
                          <w:color w:val="000000" w:themeColor="text1"/>
                          <w:sz w:val="20"/>
                          <w:highlight w:val="none"/>
                          <w:u w:val="none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Cambria Math" w:cs="Cambria Math"/>
                            </w:rPr>
                            <m:rPr/>
                            <m:t>ОСЗ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w:rPr>
                          <w:rFonts w:hint="default" w:ascii="Cambria Math" w:hAnsi="Cambria Math" w:eastAsia="Cambria Math" w:cs="Cambria Math"/>
                          <w:caps w:val="0"/>
                          <w:smallCaps w:val="0"/>
                          <w:strike w:val="0"/>
                          <w:color w:val="000000" w:themeColor="text1"/>
                          <w:spacing w:val="0"/>
                          <w:position w:val="0"/>
                          <w:sz w:val="20"/>
                          <w:szCs w:val="20"/>
                          <w:highlight w:val="none"/>
                          <w:u w:val="none"/>
                          <w:vertAlign w:val="baseline"/>
                          <w:lang w:val="ru-RU" w:eastAsia="ru-RU" w:bidi="ar-SA"/>
                          <w14:ligatures w14:val="none"/>
                        </w:rPr>
                        <m:rPr/>
                        <m:t>×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Cambria Math" w:cs="Cambria Math"/>
                            </w:rPr>
                            <m:rPr/>
                            <m:t>ППС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eastAsia="Cambria Math" w:cs="Cambria Math"/>
                              <w:i/>
                              <w:strike w:val="0"/>
                              <w:color w:val="000000" w:themeColor="text1"/>
                              <w:sz w:val="20"/>
                              <w:highlight w:val="none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hint="default" w:ascii="Cambria Math" w:hAnsi="Cambria Math" w:eastAsia="Cambria Math" w:cs="Cambria Math"/>
                              <w:caps w:val="0"/>
                              <w:smallCaps w:val="0"/>
                              <w:strike w:val="0"/>
                              <w:color w:val="000000" w:themeColor="text1"/>
                              <w:spacing w:val="0"/>
                              <w:position w:val="0"/>
                              <w:sz w:val="20"/>
                              <w:szCs w:val="20"/>
                              <w:highlight w:val="none"/>
                              <w:u w:val="none"/>
                              <w:vertAlign w:val="baseline"/>
                              <w:lang w:val="ru-RU" w:eastAsia="ru-RU" w:bidi="ar-SA"/>
                              <w14:ligatures w14:val="none"/>
                            </w:rP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w:rPr>
                              <w:rFonts w:hint="default" w:ascii="Cambria Math" w:hAnsi="Cambria Math" w:eastAsia="Cambria Math" w:cs="Cambria Math"/>
                              <w:strike w:val="0"/>
                              <w:color w:val="000000" w:themeColor="text1"/>
                              <w:sz w:val="20"/>
                              <w:szCs w:val="20"/>
                              <w:highlight w:val="none"/>
                              <w:u w:val="none"/>
                            </w:rP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den>
                  </m:f>
                </m:e>
              </m:nary>
            </m:oMath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ПЦ - предельная цена финансовой услуги в рублях;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i - соответствующий календарный день, за который на сумму фактической задолженности по кредиту начисляются проценты за пользование кредитом;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остаток лимита предоставления кредита (лимита задолженности) по кредиту на начало дня i, в рублях;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размер процентной ставки, установленной в соответствии с формулой (2) на день i, в процентах годовых;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фактическое количество календарных дней в году, на который приходится день i;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n - количество дней пользования кредитом за период с даты первой выдачи кредита (не включая эту дату) по дату полного погашения кредита по окончании срока действия кредитной линии, либо по дату полного погашения кредита, осуществленного ранее срока погашен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ия кредита (включительно) по государственному контракту.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(2) ППС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=КС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i - соответствующий календарный день, за который на сумму фактической задолженности по кредиту начисляются проценты за пользование кредитом;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размер процентной ставки, устанавливаемой на день i, в процентах годовых;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 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 размер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23" w:tooltip="https://internet.garant.ru/#/document/10180094/entry/100" w:history="1">
              <w:r>
                <w:rPr>
                  <w:rStyle w:val="71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ключевой ставки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Банка России, действующей на день i, в процентах годовых;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 - надбавка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hyperlink r:id="rId24" w:tooltip="https://internet.garant.ru/#/document/10180094/entry/100" w:history="1">
              <w:r>
                <w:rPr>
                  <w:rStyle w:val="71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ключевой ставке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Банка России, определенная по итогам электронного аукциона в процентах годовых. Надбавка рассчитывается исходя из значения цены контракта, определенного по итогам открытого аукциона в электронной форме и ключевой ставки Банка России, действующей на дату 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ъявления открытого аукциона в электронной форме.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left="0" w:right="0" w:firstLine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right="-31"/>
        <w:jc w:val="center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ymbol">
    <w:panose1 w:val="05010000000000000000"/>
  </w:font>
  <w:font w:name="Times New Roman CYR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  <w:font w:name="Times New Roman">
    <w:panose1 w:val="02020603050405020304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28198704"/>
      <w:docPartObj>
        <w:docPartGallery w:val="Page Numbers (Top of Page)"/>
        <w:docPartUnique w:val="true"/>
      </w:docPartObj>
      <w:rPr/>
    </w:sdtPr>
    <w:sdtContent>
      <w:p>
        <w:pPr>
          <w:pStyle w:val="712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7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99"/>
    <w:link w:val="69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99"/>
    <w:link w:val="69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99"/>
    <w:link w:val="69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99"/>
    <w:link w:val="69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94"/>
    <w:next w:val="69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9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94"/>
    <w:next w:val="69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9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94"/>
    <w:next w:val="69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9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94"/>
    <w:next w:val="69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9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94"/>
    <w:next w:val="69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9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94"/>
    <w:next w:val="69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99"/>
    <w:link w:val="35"/>
    <w:uiPriority w:val="10"/>
    <w:rPr>
      <w:sz w:val="48"/>
      <w:szCs w:val="48"/>
    </w:rPr>
  </w:style>
  <w:style w:type="paragraph" w:styleId="37">
    <w:name w:val="Subtitle"/>
    <w:basedOn w:val="694"/>
    <w:next w:val="69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99"/>
    <w:link w:val="37"/>
    <w:uiPriority w:val="11"/>
    <w:rPr>
      <w:sz w:val="24"/>
      <w:szCs w:val="24"/>
    </w:rPr>
  </w:style>
  <w:style w:type="paragraph" w:styleId="39">
    <w:name w:val="Quote"/>
    <w:basedOn w:val="694"/>
    <w:next w:val="69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94"/>
    <w:next w:val="69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99"/>
    <w:link w:val="712"/>
    <w:uiPriority w:val="99"/>
  </w:style>
  <w:style w:type="character" w:styleId="46">
    <w:name w:val="Footer Char"/>
    <w:basedOn w:val="699"/>
    <w:link w:val="714"/>
    <w:uiPriority w:val="99"/>
  </w:style>
  <w:style w:type="paragraph" w:styleId="47">
    <w:name w:val="Caption"/>
    <w:basedOn w:val="694"/>
    <w:next w:val="69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9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726"/>
    <w:uiPriority w:val="99"/>
    <w:rPr>
      <w:sz w:val="18"/>
    </w:rPr>
  </w:style>
  <w:style w:type="paragraph" w:styleId="179">
    <w:name w:val="endnote text"/>
    <w:basedOn w:val="69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99"/>
    <w:uiPriority w:val="99"/>
    <w:semiHidden/>
    <w:unhideWhenUsed/>
    <w:rPr>
      <w:vertAlign w:val="superscript"/>
    </w:rPr>
  </w:style>
  <w:style w:type="paragraph" w:styleId="182">
    <w:name w:val="toc 1"/>
    <w:basedOn w:val="694"/>
    <w:next w:val="69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94"/>
    <w:next w:val="69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94"/>
    <w:next w:val="69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94"/>
    <w:next w:val="69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94"/>
    <w:next w:val="69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94"/>
    <w:next w:val="69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94"/>
    <w:next w:val="69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94"/>
    <w:next w:val="69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94"/>
    <w:next w:val="69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69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5">
    <w:name w:val="Heading 1"/>
    <w:basedOn w:val="694"/>
    <w:next w:val="694"/>
    <w:link w:val="702"/>
    <w:uiPriority w:val="9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96">
    <w:name w:val="Heading 2"/>
    <w:basedOn w:val="694"/>
    <w:next w:val="694"/>
    <w:link w:val="709"/>
    <w:uiPriority w:val="9"/>
    <w:unhideWhenUsed/>
    <w:qFormat/>
    <w:pPr>
      <w:keepLines/>
      <w:keepNext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697">
    <w:name w:val="Heading 3"/>
    <w:basedOn w:val="694"/>
    <w:next w:val="694"/>
    <w:link w:val="70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40"/>
      <w:outlineLvl w:val="3"/>
    </w:pPr>
    <w:rPr>
      <w:rFonts w:ascii="Cambria" w:hAnsi="Cambria"/>
      <w:i/>
      <w:iCs/>
      <w:color w:val="365f9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Заголовок 1 Знак"/>
    <w:basedOn w:val="699"/>
    <w:link w:val="695"/>
    <w:uiPriority w:val="9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703" w:customStyle="1">
    <w:name w:val="Заголовок 3 Знак"/>
    <w:basedOn w:val="699"/>
    <w:link w:val="697"/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704" w:customStyle="1">
    <w:name w:val="ConsPlusNormal"/>
    <w:link w:val="742"/>
    <w:qFormat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705" w:customStyle="1">
    <w:name w:val="Цветовое выделение"/>
    <w:uiPriority w:val="99"/>
    <w:rPr>
      <w:b/>
      <w:bCs/>
      <w:color w:val="26282f"/>
    </w:rPr>
  </w:style>
  <w:style w:type="paragraph" w:styleId="706">
    <w:name w:val="List Paragraph"/>
    <w:basedOn w:val="694"/>
    <w:uiPriority w:val="34"/>
    <w:qFormat/>
    <w:pPr>
      <w:contextualSpacing/>
      <w:ind w:left="720"/>
    </w:pPr>
  </w:style>
  <w:style w:type="paragraph" w:styleId="707">
    <w:name w:val="Balloon Text"/>
    <w:basedOn w:val="694"/>
    <w:link w:val="708"/>
    <w:uiPriority w:val="99"/>
    <w:semiHidden/>
    <w:unhideWhenUsed/>
    <w:rPr>
      <w:rFonts w:ascii="Tahoma" w:hAnsi="Tahoma" w:cs="Tahoma"/>
      <w:sz w:val="16"/>
      <w:szCs w:val="16"/>
    </w:rPr>
  </w:style>
  <w:style w:type="character" w:styleId="708" w:customStyle="1">
    <w:name w:val="Текст выноски Знак"/>
    <w:basedOn w:val="699"/>
    <w:link w:val="70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709" w:customStyle="1">
    <w:name w:val="Заголовок 2 Знак"/>
    <w:basedOn w:val="699"/>
    <w:link w:val="696"/>
    <w:uiPriority w:val="9"/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character" w:styleId="710" w:customStyle="1">
    <w:name w:val="Заголовок 4 Знак"/>
    <w:basedOn w:val="699"/>
    <w:link w:val="698"/>
    <w:uiPriority w:val="9"/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character" w:styleId="711">
    <w:name w:val="Hyperlink"/>
    <w:basedOn w:val="699"/>
    <w:uiPriority w:val="99"/>
    <w:unhideWhenUsed/>
    <w:rPr>
      <w:color w:val="0000ff"/>
      <w:u w:val="single"/>
    </w:rPr>
  </w:style>
  <w:style w:type="paragraph" w:styleId="712">
    <w:name w:val="Header"/>
    <w:basedOn w:val="694"/>
    <w:link w:val="7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3" w:customStyle="1">
    <w:name w:val="Верхний колонтитул Знак"/>
    <w:basedOn w:val="699"/>
    <w:link w:val="71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4">
    <w:name w:val="Footer"/>
    <w:basedOn w:val="694"/>
    <w:link w:val="71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5" w:customStyle="1">
    <w:name w:val="Нижний колонтитул Знак"/>
    <w:basedOn w:val="699"/>
    <w:link w:val="71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6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717" w:customStyle="1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718" w:customStyle="1">
    <w:name w:val="Гипертекстовая ссылка"/>
    <w:basedOn w:val="705"/>
    <w:uiPriority w:val="99"/>
    <w:rPr>
      <w:color w:val="106bbe"/>
    </w:rPr>
  </w:style>
  <w:style w:type="paragraph" w:styleId="719" w:customStyle="1">
    <w:name w:val="Нормальный (таблица)"/>
    <w:basedOn w:val="694"/>
    <w:next w:val="694"/>
    <w:uiPriority w:val="99"/>
    <w:pPr>
      <w:jc w:val="both"/>
    </w:pPr>
    <w:rPr>
      <w:rFonts w:ascii="Arial" w:hAnsi="Arial" w:eastAsia="Calibri" w:cs="Arial"/>
      <w:lang w:eastAsia="en-US"/>
    </w:rPr>
  </w:style>
  <w:style w:type="table" w:styleId="720">
    <w:name w:val="Table Grid"/>
    <w:basedOn w:val="700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1" w:customStyle="1">
    <w:name w:val="Прижатый влево"/>
    <w:basedOn w:val="694"/>
    <w:next w:val="694"/>
    <w:uiPriority w:val="99"/>
    <w:pPr>
      <w:widowControl w:val="off"/>
    </w:pPr>
    <w:rPr>
      <w:rFonts w:ascii="Arial" w:hAnsi="Arial" w:cs="Arial"/>
    </w:rPr>
  </w:style>
  <w:style w:type="paragraph" w:styleId="72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3" w:customStyle="1">
    <w:name w:val="blue1"/>
    <w:basedOn w:val="699"/>
    <w:rPr>
      <w:color w:val="3871c3"/>
    </w:rPr>
  </w:style>
  <w:style w:type="character" w:styleId="724" w:customStyle="1">
    <w:name w:val="Основной текст_"/>
    <w:link w:val="725"/>
    <w:rPr>
      <w:rFonts w:ascii="Times New Roman" w:hAnsi="Times New Roman" w:eastAsia="Times New Roman"/>
      <w:sz w:val="25"/>
      <w:szCs w:val="25"/>
      <w:shd w:val="clear" w:color="auto" w:fill="ffffff"/>
    </w:rPr>
  </w:style>
  <w:style w:type="paragraph" w:styleId="725" w:customStyle="1">
    <w:name w:val="Основной текст1"/>
    <w:basedOn w:val="694"/>
    <w:link w:val="724"/>
    <w:pPr>
      <w:jc w:val="both"/>
      <w:spacing w:before="240" w:line="298" w:lineRule="exact"/>
      <w:shd w:val="clear" w:color="auto" w:fill="ffffff"/>
      <w:widowControl w:val="off"/>
    </w:pPr>
    <w:rPr>
      <w:rFonts w:cstheme="minorBidi"/>
      <w:sz w:val="25"/>
      <w:szCs w:val="25"/>
      <w:lang w:eastAsia="en-US"/>
    </w:rPr>
  </w:style>
  <w:style w:type="paragraph" w:styleId="726">
    <w:name w:val="footnote text"/>
    <w:basedOn w:val="694"/>
    <w:link w:val="727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727" w:customStyle="1">
    <w:name w:val="Текст сноски Знак"/>
    <w:basedOn w:val="699"/>
    <w:link w:val="726"/>
    <w:uiPriority w:val="99"/>
    <w:rPr>
      <w:rFonts w:ascii="Calibri" w:hAnsi="Calibri" w:eastAsia="Calibri" w:cs="Times New Roman"/>
      <w:sz w:val="20"/>
      <w:szCs w:val="20"/>
    </w:rPr>
  </w:style>
  <w:style w:type="character" w:styleId="728">
    <w:name w:val="footnote reference"/>
    <w:basedOn w:val="699"/>
    <w:uiPriority w:val="99"/>
    <w:semiHidden/>
    <w:unhideWhenUsed/>
    <w:rPr>
      <w:vertAlign w:val="superscript"/>
    </w:rPr>
  </w:style>
  <w:style w:type="paragraph" w:styleId="729" w:customStyle="1">
    <w:name w:val="Нормальный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730" w:customStyle="1">
    <w:name w:val="formattext"/>
    <w:basedOn w:val="694"/>
    <w:pPr>
      <w:spacing w:before="100" w:beforeAutospacing="1" w:after="100" w:afterAutospacing="1"/>
    </w:pPr>
  </w:style>
  <w:style w:type="paragraph" w:styleId="73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73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33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34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35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736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737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38" w:customStyle="1">
    <w:name w:val="s_3"/>
    <w:basedOn w:val="694"/>
    <w:pPr>
      <w:spacing w:before="100" w:beforeAutospacing="1" w:after="100" w:afterAutospacing="1"/>
    </w:pPr>
  </w:style>
  <w:style w:type="paragraph" w:styleId="739" w:customStyle="1">
    <w:name w:val="s_1"/>
    <w:basedOn w:val="694"/>
    <w:pPr>
      <w:spacing w:before="100" w:beforeAutospacing="1" w:after="100" w:afterAutospacing="1"/>
    </w:pPr>
  </w:style>
  <w:style w:type="paragraph" w:styleId="740" w:customStyle="1">
    <w:name w:val="indent_1"/>
    <w:basedOn w:val="694"/>
    <w:pPr>
      <w:spacing w:before="100" w:beforeAutospacing="1" w:after="100" w:afterAutospacing="1"/>
    </w:pPr>
  </w:style>
  <w:style w:type="character" w:styleId="741">
    <w:name w:val="FollowedHyperlink"/>
    <w:basedOn w:val="699"/>
    <w:uiPriority w:val="99"/>
    <w:semiHidden/>
    <w:unhideWhenUsed/>
    <w:rPr>
      <w:color w:val="800080" w:themeColor="followedHyperlink"/>
      <w:u w:val="single"/>
    </w:rPr>
  </w:style>
  <w:style w:type="character" w:styleId="742" w:customStyle="1">
    <w:name w:val="ConsPlusNormal Знак"/>
    <w:link w:val="704"/>
    <w:rPr>
      <w:rFonts w:ascii="Arial" w:hAnsi="Arial" w:eastAsia="Times New Roman" w:cs="Arial"/>
      <w:sz w:val="20"/>
      <w:szCs w:val="20"/>
      <w:lang w:eastAsia="ru-RU"/>
    </w:rPr>
  </w:style>
  <w:style w:type="paragraph" w:styleId="743" w:customStyle="1">
    <w:name w:val="Текст (справка)"/>
    <w:basedOn w:val="694"/>
    <w:next w:val="694"/>
    <w:uiPriority w:val="99"/>
    <w:pPr>
      <w:ind w:left="170" w:right="170"/>
      <w:widowControl w:val="off"/>
    </w:pPr>
    <w:rPr>
      <w:rFonts w:ascii="Times New Roman CYR" w:hAnsi="Times New Roman CYR" w:cs="Times New Roman CYR" w:eastAsiaTheme="minorEastAsia"/>
    </w:rPr>
  </w:style>
  <w:style w:type="paragraph" w:styleId="744" w:customStyle="1">
    <w:name w:val="Комментарий"/>
    <w:basedOn w:val="743"/>
    <w:next w:val="694"/>
    <w:uiPriority w:val="99"/>
    <w:pPr>
      <w:ind w:right="0"/>
      <w:jc w:val="both"/>
      <w:spacing w:before="75"/>
    </w:pPr>
    <w:rPr>
      <w:color w:val="353842"/>
    </w:rPr>
  </w:style>
  <w:style w:type="paragraph" w:styleId="745" w:customStyle="1">
    <w:name w:val="Информация о версии"/>
    <w:basedOn w:val="744"/>
    <w:next w:val="694"/>
    <w:uiPriority w:val="99"/>
    <w:rPr>
      <w:i/>
      <w:iCs/>
    </w:rPr>
  </w:style>
  <w:style w:type="paragraph" w:styleId="746" w:customStyle="1">
    <w:name w:val="Текст информации об изменениях"/>
    <w:basedOn w:val="694"/>
    <w:next w:val="694"/>
    <w:uiPriority w:val="99"/>
    <w:pPr>
      <w:ind w:firstLine="720"/>
      <w:jc w:val="both"/>
      <w:widowControl w:val="off"/>
    </w:pPr>
    <w:rPr>
      <w:rFonts w:ascii="Times New Roman CYR" w:hAnsi="Times New Roman CYR" w:cs="Times New Roman CYR" w:eastAsiaTheme="minorEastAsia"/>
      <w:color w:val="353842"/>
      <w:sz w:val="20"/>
      <w:szCs w:val="20"/>
    </w:rPr>
  </w:style>
  <w:style w:type="paragraph" w:styleId="747" w:customStyle="1">
    <w:name w:val="Информация об изменениях"/>
    <w:basedOn w:val="746"/>
    <w:next w:val="694"/>
    <w:uiPriority w:val="99"/>
    <w:pPr>
      <w:ind w:left="360" w:right="360" w:firstLine="0"/>
      <w:spacing w:before="180"/>
    </w:pPr>
  </w:style>
  <w:style w:type="paragraph" w:styleId="748" w:customStyle="1">
    <w:name w:val="Подзаголовок для информации об изменениях"/>
    <w:basedOn w:val="746"/>
    <w:next w:val="694"/>
    <w:uiPriority w:val="99"/>
    <w:rPr>
      <w:b/>
      <w:bCs/>
    </w:rPr>
  </w:style>
  <w:style w:type="character" w:styleId="74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750" w:customStyle="1">
    <w:name w:val="s_16"/>
    <w:basedOn w:val="694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internet.garant.ru/#/document/70650730/entry/0" TargetMode="External"/><Relationship Id="rId14" Type="http://schemas.openxmlformats.org/officeDocument/2006/relationships/hyperlink" Target="https://internet.garant.ru/#/document/179222/entry/0" TargetMode="External"/><Relationship Id="rId15" Type="http://schemas.openxmlformats.org/officeDocument/2006/relationships/hyperlink" Target="https://internet.garant.ru/#/document/43600574/entry/1200" TargetMode="External"/><Relationship Id="rId16" Type="http://schemas.openxmlformats.org/officeDocument/2006/relationships/hyperlink" Target="https://internet.garant.ru/#/document/43600574/entry/0" TargetMode="External"/><Relationship Id="rId17" Type="http://schemas.openxmlformats.org/officeDocument/2006/relationships/hyperlink" Target="https://internet.garant.ru/#/document/12148567/entry/0" TargetMode="External"/><Relationship Id="rId18" Type="http://schemas.openxmlformats.org/officeDocument/2006/relationships/hyperlink" Target="https://internet.garant.ru/#/document/12148567/entry/0" TargetMode="External"/><Relationship Id="rId19" Type="http://schemas.openxmlformats.org/officeDocument/2006/relationships/hyperlink" Target="https://internet.garant.ru/#/document/10180094/entry/100" TargetMode="External"/><Relationship Id="rId20" Type="http://schemas.openxmlformats.org/officeDocument/2006/relationships/hyperlink" Target="https://internet.garant.ru/#/document/10180094/entry/100" TargetMode="External"/><Relationship Id="rId21" Type="http://schemas.openxmlformats.org/officeDocument/2006/relationships/hyperlink" Target="https://internet.garant.ru/#/document/10180094/entry/100" TargetMode="External"/><Relationship Id="rId22" Type="http://schemas.openxmlformats.org/officeDocument/2006/relationships/hyperlink" Target="https://internet.garant.ru/#/document/10180094/entry/100" TargetMode="External"/><Relationship Id="rId23" Type="http://schemas.openxmlformats.org/officeDocument/2006/relationships/hyperlink" Target="https://internet.garant.ru/#/document/10180094/entry/100" TargetMode="External"/><Relationship Id="rId24" Type="http://schemas.openxmlformats.org/officeDocument/2006/relationships/hyperlink" Target="https://internet.garant.ru/#/document/10180094/entry/1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97BE9-9891-4890-B271-B20F339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Нурбиевна Борокова</dc:creator>
  <cp:keywords/>
  <cp:lastModifiedBy>borokova</cp:lastModifiedBy>
  <cp:revision>229</cp:revision>
  <dcterms:created xsi:type="dcterms:W3CDTF">2025-09-09T08:32:00Z</dcterms:created>
  <dcterms:modified xsi:type="dcterms:W3CDTF">2026-03-13T14:02:10Z</dcterms:modified>
</cp:coreProperties>
</file>