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eastAsia="ru-RU"/>
        </w:rPr>
        <w:t xml:space="preserve">проект</w:t>
      </w:r>
      <w:r>
        <w:rPr>
          <w:b w:val="0"/>
          <w:bCs w:val="0"/>
          <w:sz w:val="24"/>
          <w:szCs w:val="24"/>
          <w:lang w:eastAsia="ru-RU"/>
        </w:rPr>
      </w:r>
      <w:r>
        <w:rPr>
          <w:b w:val="0"/>
          <w:bCs w:val="0"/>
          <w:sz w:val="24"/>
          <w:szCs w:val="24"/>
        </w:rPr>
      </w:r>
    </w:p>
    <w:p>
      <w:pPr>
        <w:jc w:val="right"/>
        <w:rPr>
          <w:b/>
          <w:lang w:eastAsia="ru-RU"/>
        </w:rPr>
      </w:pPr>
      <w:r>
        <w:rPr>
          <w:b/>
          <w:lang w:eastAsia="ru-RU"/>
        </w:rPr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jc w:val="center"/>
        <w:rPr>
          <w:b/>
          <w:lang w:val="en-US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7143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56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  <w:t xml:space="preserve">П Р И К А 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rPr>
          <w:szCs w:val="28"/>
        </w:rPr>
      </w:pPr>
      <w:r>
        <w:t xml:space="preserve">  </w:t>
      </w:r>
      <w:r>
        <w:t xml:space="preserve">от _____________</w:t>
      </w:r>
      <w:r>
        <w:t xml:space="preserve"> </w:t>
      </w:r>
      <w:r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         </w:t>
      </w:r>
      <w:r>
        <w:rPr>
          <w:szCs w:val="28"/>
        </w:rPr>
        <w:t xml:space="preserve">  </w:t>
      </w:r>
      <w:r>
        <w:rPr>
          <w:szCs w:val="28"/>
        </w:rPr>
        <w:t xml:space="preserve">  </w:t>
      </w:r>
      <w:r>
        <w:rPr>
          <w:szCs w:val="28"/>
        </w:rPr>
        <w:t xml:space="preserve">№ ______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г. Майкоп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highlight w:val="none"/>
          <w:lang w:val="ru-RU" w:bidi="ru-RU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Об утверждении Порядка </w:t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 рассмотрения 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 заявки, 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представляемой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органами местного самоуправления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для полу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чения дотации на поддержку мер по обеспечению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сбалансированности местных бюджетов, предоставляемой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в случае возникновения потребности в частичной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компенсации дополнительных расходов на повышение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0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оплаты труда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 работников бюджетной сферы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01"/>
        <w:contextualSpacing w:val="0"/>
        <w:ind w:firstLine="720"/>
        <w:jc w:val="both"/>
        <w:rPr>
          <w:rStyle w:val="918"/>
          <w:rFonts w:ascii="Times New Roman" w:hAnsi="Times New Roman" w:cs="Times New Roman"/>
          <w:b w:val="0"/>
          <w:bCs w:val="0"/>
          <w:color w:val="auto"/>
          <w:sz w:val="27"/>
          <w:szCs w:val="27"/>
          <w:highlight w:val="none"/>
        </w:rPr>
        <w:suppressLineNumbers w:val="0"/>
      </w:pP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highlight w:val="none"/>
          <w:lang w:val="ru-RU" w:bidi="ru-RU"/>
        </w:rPr>
      </w:r>
      <w:r>
        <w:rPr>
          <w:rStyle w:val="918"/>
          <w:rFonts w:ascii="Times New Roman" w:hAnsi="Times New Roman" w:cs="Times New Roman"/>
          <w:b w:val="0"/>
          <w:bCs w:val="0"/>
          <w:color w:val="auto"/>
          <w:sz w:val="27"/>
          <w:szCs w:val="27"/>
          <w:highlight w:val="none"/>
        </w:rPr>
      </w:r>
      <w:r>
        <w:rPr>
          <w:rStyle w:val="918"/>
          <w:rFonts w:ascii="Times New Roman" w:hAnsi="Times New Roman" w:cs="Times New Roman"/>
          <w:b w:val="0"/>
          <w:bCs w:val="0"/>
          <w:color w:val="auto"/>
          <w:sz w:val="27"/>
          <w:szCs w:val="27"/>
          <w:highlight w:val="none"/>
        </w:rPr>
      </w:r>
    </w:p>
    <w:p>
      <w:pPr>
        <w:pStyle w:val="901"/>
        <w:contextualSpacing w:val="0"/>
        <w:ind w:firstLine="720"/>
        <w:jc w:val="both"/>
        <w:rPr>
          <w:rStyle w:val="918"/>
          <w:rFonts w:ascii="Times New Roman" w:hAnsi="Times New Roman" w:cs="Times New Roman"/>
          <w:b w:val="0"/>
          <w:bCs w:val="0"/>
          <w:color w:val="auto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</w:rPr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В соответствии с пунктами </w:t>
      </w:r>
      <w:hyperlink r:id="rId14" w:tooltip="https://internet.garant.ru/document/redirect/73967175/11"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  <w:t xml:space="preserve">9</w:t>
        </w:r>
      </w:hyperlink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 и </w:t>
      </w:r>
      <w:hyperlink r:id="rId15" w:tooltip="https://internet.garant.ru/document/redirect/73967175/17"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  <w:t xml:space="preserve">10</w:t>
        </w:r>
      </w:hyperlink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 Правил предоставления из республиканского бюджета Республики Адыгея дотаций местным бюджетам на поддержку мер по обеспечению сбалансированности местных бюджетов и иных дотаций местным бюджетам, утвержденных п</w:t>
      </w:r>
      <w:hyperlink r:id="rId16" w:tooltip="https://internet.garant.ru/document/redirect/73967175/0"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  <w:t xml:space="preserve">остановлением</w:t>
        </w:r>
      </w:hyperlink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 Кабинета Министров Республики Адыгея от 28.04.2020 №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81 «О некоторых вопросах, связанных с предоставлением из республиканского бюджета Республики Адыгея дотаций местным бюджетам на поддержку мер по обеспечению сбалансированности местных бюджетов»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(далее – Правила)</w:t>
      </w:r>
      <w:r>
        <w:rPr>
          <w:rStyle w:val="918"/>
          <w:rFonts w:ascii="Times New Roman" w:hAnsi="Times New Roman" w:cs="Times New Roman"/>
          <w:b w:val="0"/>
          <w:bCs w:val="0"/>
          <w:color w:val="auto"/>
          <w:sz w:val="27"/>
          <w:szCs w:val="27"/>
          <w:highlight w:val="none"/>
        </w:rPr>
      </w:r>
      <w:r>
        <w:rPr>
          <w:rStyle w:val="918"/>
          <w:rFonts w:ascii="Times New Roman" w:hAnsi="Times New Roman" w:cs="Times New Roman"/>
          <w:b w:val="0"/>
          <w:bCs w:val="0"/>
          <w:color w:val="auto"/>
          <w:sz w:val="27"/>
          <w:szCs w:val="27"/>
          <w:highlight w:val="none"/>
        </w:rPr>
      </w:r>
    </w:p>
    <w:p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2"/>
        <w:ind w:firstLine="709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п 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р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 и к а 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з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ы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 в а ю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:</w:t>
      </w:r>
      <w:r>
        <w:rPr>
          <w:rFonts w:ascii="Times New Roman" w:hAnsi="Times New Roman" w:cs="Times New Roman"/>
          <w:b/>
          <w:spacing w:val="20"/>
          <w:sz w:val="27"/>
          <w:szCs w:val="27"/>
        </w:rPr>
      </w:r>
      <w:r>
        <w:rPr>
          <w:rFonts w:ascii="Times New Roman" w:hAnsi="Times New Roman" w:cs="Times New Roman"/>
          <w:b/>
          <w:spacing w:val="20"/>
          <w:sz w:val="27"/>
          <w:szCs w:val="27"/>
        </w:rPr>
      </w:r>
    </w:p>
    <w:p>
      <w:pPr>
        <w:ind w:firstLine="720"/>
        <w:jc w:val="both"/>
        <w:spacing w:before="0" w:after="0" w:line="240" w:lineRule="auto"/>
        <w:rPr>
          <w:rStyle w:val="918"/>
          <w:rFonts w:ascii="Times New Roman" w:hAnsi="Times New Roman" w:cs="Times New Roman"/>
          <w:color w:val="auto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</w:r>
      <w:bookmarkStart w:id="0" w:name="undefined"/>
      <w:r>
        <w:rPr>
          <w:rStyle w:val="91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1. Утвердить Порядок рассмотрения заявки, представляемой органами местного самоуправления для получения дотации на поддержку мер по обеспеч</w:t>
      </w:r>
      <w:r>
        <w:rPr>
          <w:rStyle w:val="91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ению сбалансированности местных бюджетов, п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 </w:t>
      </w:r>
      <w:r>
        <w:rPr>
          <w:rStyle w:val="91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(далее - Порядок</w:t>
      </w:r>
      <w:r>
        <w:rPr>
          <w:rStyle w:val="91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) согласно </w:t>
      </w:r>
      <w:r>
        <w:rPr>
          <w:rStyle w:val="91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приложению.</w:t>
      </w:r>
      <w:r>
        <w:rPr>
          <w:rStyle w:val="918"/>
          <w:rFonts w:ascii="Times New Roman" w:hAnsi="Times New Roman" w:cs="Times New Roman"/>
          <w:color w:val="auto"/>
          <w:sz w:val="27"/>
          <w:szCs w:val="27"/>
          <w:highlight w:val="none"/>
        </w:rPr>
      </w:r>
      <w:r>
        <w:rPr>
          <w:rStyle w:val="918"/>
          <w:rFonts w:ascii="Times New Roman" w:hAnsi="Times New Roman" w:cs="Times New Roman"/>
          <w:color w:val="auto"/>
          <w:sz w:val="27"/>
          <w:szCs w:val="27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</w:r>
      <w:bookmarkEnd w:id="0"/>
      <w:r>
        <w:rPr>
          <w:rStyle w:val="91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2. Настоящий приказ вступает в силу с момента его подписания.</w:t>
      </w:r>
      <w:r>
        <w:rPr>
          <w:rFonts w:ascii="Times New Roman" w:hAnsi="Times New Roman" w:cs="Times New Roman"/>
          <w:color w:val="auto"/>
          <w:sz w:val="27"/>
          <w:szCs w:val="27"/>
        </w:rPr>
      </w:r>
      <w:r>
        <w:rPr>
          <w:rFonts w:ascii="Times New Roman" w:hAnsi="Times New Roman" w:cs="Times New Roman"/>
          <w:color w:val="auto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Заместитель Председателя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Кабинета Министров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Республики Адыгея </w:t>
      </w: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–</w:t>
      </w: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Министр финансов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Республики Адыгея</w:t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Орлов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ind w:firstLine="0"/>
        <w:jc w:val="right"/>
        <w:rPr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Приложение 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к </w:t>
      </w:r>
      <w:hyperlink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lang w:val="ru-RU" w:bidi="ru-RU"/>
          </w:rPr>
          <w:t xml:space="preserve">приказу</w:t>
        </w:r>
      </w:hyperlink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Министерства финансов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Республики Адыгея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от                 </w:t>
      </w:r>
      <w:r>
        <w:rPr>
          <w:szCs w:val="28"/>
        </w:rPr>
        <w:t xml:space="preserve">№ ______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End w:id="0"/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Style w:val="920"/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pStyle w:val="916"/>
        <w:contextualSpacing w:val="0"/>
        <w:ind w:left="0" w:firstLine="0"/>
        <w:jc w:val="center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16"/>
        <w:contextualSpacing w:val="0"/>
        <w:ind w:left="0" w:firstLine="0"/>
        <w:jc w:val="center"/>
        <w:spacing w:before="0" w:beforeAutospacing="0" w:after="0" w:line="240" w:lineRule="auto"/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рассмотрения заявки, представляемой органами местного </w:t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16"/>
        <w:contextualSpacing w:val="0"/>
        <w:ind w:left="0" w:firstLine="0"/>
        <w:jc w:val="center"/>
        <w:spacing w:before="0" w:beforeAutospacing="0" w:after="0" w:line="240" w:lineRule="auto"/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самоуправления для получения дотации на поддержку мер по обеспеч</w:t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ению сбалансированности местных бюджетов,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</w:t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16"/>
        <w:contextualSpacing w:val="0"/>
        <w:ind w:left="0" w:firstLine="0"/>
        <w:jc w:val="center"/>
        <w:spacing w:before="0" w:beforeAutospacing="0" w:after="0" w:line="240" w:lineRule="auto"/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16"/>
        <w:contextualSpacing w:val="0"/>
        <w:ind w:lef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1.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Настоящий порядок регламентирует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сроки предоставления и процедуру рассмотрения заявки,  </w:t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представляемой органами местного </w:t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самоуправления для получения дотации на поддержку мер по обеспеч</w:t>
      </w:r>
      <w:r>
        <w:rPr>
          <w:rStyle w:val="918"/>
          <w:rFonts w:ascii="Times New Roman" w:hAnsi="Times New Roman" w:eastAsia="Times New Roman" w:cs="Times New Roman"/>
          <w:color w:val="auto"/>
          <w:sz w:val="28"/>
          <w:szCs w:val="28"/>
          <w:lang w:val="ru-RU" w:bidi="ru-RU"/>
        </w:rPr>
        <w:t xml:space="preserve">ению сбалансированности местных бюджетов,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 (далее – дотация на сбалансированность)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 w:val="0"/>
        <w:ind w:left="0"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</w:rPr>
        <w:suppressLineNumbers w:val="0"/>
      </w:pP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  <w:t xml:space="preserve">2. </w:t>
      </w:r>
      <w:r>
        <w:rPr>
          <w:rStyle w:val="91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Органы местного самоуправления для получения дотации на сбалансированность предста</w:t>
      </w:r>
      <w:r>
        <w:rPr>
          <w:rStyle w:val="91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вляют на рассмотрение в Министерство финансов Республики Адыгея заявку по форме </w:t>
      </w:r>
      <w:r>
        <w:rPr>
          <w:rStyle w:val="91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согласно приложению № 1 к настоящему порядку.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Style w:val="918"/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suppressLineNumbers w:val="0"/>
      </w:pP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  <w:t xml:space="preserve">2. Заявка предоставляется в Мин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  <w:t xml:space="preserve">истерство финансов Республики Адыгея органами местного самоуправления в срок </w:t>
      </w:r>
      <w:r>
        <w:rPr>
          <w:rStyle w:val="918"/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 w:bidi="ru-RU"/>
        </w:rPr>
        <w:t xml:space="preserve">н</w:t>
      </w:r>
      <w:r>
        <w:rPr>
          <w:rStyle w:val="918"/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 w:bidi="ru-RU"/>
        </w:rPr>
        <w:t xml:space="preserve">е</w:t>
      </w:r>
      <w:r>
        <w:rPr>
          <w:rStyle w:val="918"/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 w:bidi="ru-RU"/>
        </w:rPr>
        <w:t xml:space="preserve"> позднее 15 декабря текущего финансового года.</w:t>
      </w:r>
      <w:r>
        <w:rPr>
          <w:rStyle w:val="918"/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 w:bidi="ru-RU"/>
        </w:rPr>
        <w:t xml:space="preserve"> </w:t>
      </w:r>
      <w:r>
        <w:rPr>
          <w:rStyle w:val="918"/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  <w:r>
        <w:rPr>
          <w:rStyle w:val="918"/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Style w:val="918"/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highlight w:val="none"/>
          <w:lang w:val="ru-RU" w:bidi="ru-RU"/>
        </w:rPr>
      </w:pP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3. Заявка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, представленная органами местного самоуправления,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после поступления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в Министерство финансов Республики Адыгея посредством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системы межведомственного электронного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документооборота в Республике Адыгея  с использованием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государственной информационной системы Республики Адыгея «Система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электронного делопроизводства и документооборота «Дело»,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направляется на рассмотрение в отдел межбюджетных отношений, сводного планирования и мониторинга муниципальных финансов на рассмотрение.</w:t>
      </w:r>
      <w:r>
        <w:rPr>
          <w:rStyle w:val="918"/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highlight w:val="none"/>
          <w:lang w:val="ru-RU" w:bidi="ru-RU"/>
        </w:rPr>
      </w:r>
      <w:r>
        <w:rPr>
          <w:rStyle w:val="918"/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4. Представленная органами местного самоуправления заявка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рассматривается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отделом межбюджетных отношений, сводного планирования и мониторинга муниципальных финансов.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5. В случае наличия оснований для отказа в предоставлении дотации на сбалансированность, установленных пунктом 11 Правил,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отдел межбюджетных отношений, сводного планирования и мониторинга муниципальных финансов в течение 5 рабочих дней готовит уведомление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об отказе в предоставлении дотации на сбалансированность с указанием оснований отказа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6</w:t>
      </w:r>
      <w:bookmarkEnd w:id="0"/>
      <w:r/>
      <w:bookmarkStart w:id="0" w:name="undefined"/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. В случае отсутствия оснований для отказа в предоставлении дотации отделом межбюджетных отношений, сводного планирования и мониторинга муниципальных финансов в течении 10 рабочих дней со дня поступлении заявки производится расчет дотации в соответствии с </w:t>
      </w:r>
      <w:hyperlink r:id="rId17" w:tooltip="https://internet.garant.ru/document/redirect/73967175/28"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lang w:val="ru-RU" w:bidi="ru-RU"/>
          </w:rPr>
          <w:t xml:space="preserve">пунктом 6 методик</w:t>
        </w:r>
      </w:hyperlink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и распределения дотаций на поддержку мер по обеспечению сбалансированности местных бюджетов утвержденной </w:t>
      </w:r>
      <w:hyperlink r:id="rId18" w:tooltip="https://internet.garant.ru/document/redirect/73967175/0"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lang w:val="ru-RU" w:bidi="ru-RU"/>
          </w:rPr>
          <w:t xml:space="preserve">Постановлением</w:t>
        </w:r>
      </w:hyperlink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Кабинета Министров Республики Адыгея от 28.04.2020 </w:t>
        <w:br/>
        <w:t xml:space="preserve">№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81 «О н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екоторых вопросах, связанных с предоставлением из республиканс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кого бюджета Республики Адыгея дотаци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й местным бюджетам на поддержку мер по обеспечению сбалансированности местных бюджетов» и разрабатывается проект распоряжения Кабинета Министров Республики Адыгея о предоставлении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муниципальному образованию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из республиканского бюджета Республики Адыгея  дотации </w:t>
      </w:r>
      <w:r>
        <w:rPr>
          <w:rStyle w:val="91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на поддержку мер по обеспечению сбалансированности местных бюджетов.</w:t>
      </w:r>
      <w:r>
        <w:rPr>
          <w:rFonts w:ascii="Times New Roman" w:hAnsi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Приложение № 1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к </w:t>
      </w:r>
      <w:hyperlink w:history="1">
        <w:r>
          <w:rPr>
            <w:rStyle w:val="919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lang w:val="ru-RU" w:bidi="ru-RU"/>
          </w:rPr>
          <w:t xml:space="preserve">Порядку</w:t>
        </w:r>
      </w:hyperlink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21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Заявка </w:t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921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 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по вопросу получения дотации на поддержку мер по обеспечению</w:t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921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сбалансированности бюджету муниципального образования «_____________»,  </w:t>
      </w:r>
      <w:r>
        <w:rPr>
          <w:rStyle w:val="91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редоставляемой в случае возникновения потребности в частичной компенсации дополнительных расходов на повышение оплаты труда работников бюджетной сферы и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</w:t>
      </w:r>
      <w:r>
        <w:rPr>
          <w:rStyle w:val="92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республиканского бюджета Республики Адыгея</w:t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p>
      <w:pPr>
        <w:pStyle w:val="921"/>
        <w:ind w:firstLine="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1. Прошу предоставить   дотацию   на   поддержку мер  по обеспечению сбалансированности   местного  бюджета   муниципального  образования «__________________» (далее - МО)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астичной компенсации дополнительных расходов на повышение оплаты труда работников бюджетной сферы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 в сумме ____________________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2. Обоснование необходимости  выделения  дотации на поддержку мер по обеспечению сбалансированности местного бюджета МО: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2.1. 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2.2. ____________________________________________________________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Обоснование невозможности направления средств местного бюджета МО на цели, указанные в </w:t>
      </w:r>
      <w:hyperlink r:id="rId19" w:tooltip="https://internet.garant.ru/#/document/73753902/entry/1001" w:history="1"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настоящей Заявки: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3.1. 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3.2. ____________________________________________________________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4. Просроченная задолженность по оплате труда и начислениям на оплату труда отсутствует по состоянию на «___» 20____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5. Непогашенная задолженность по обязательствам перед республиканским бюджетом Республики Адыгея отсутствует по состоянию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«___» 20____ года.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Глава Администрации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МО «____________________»     _____________________ 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                                                                        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(ФИО)           (Подпись)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Руководитель ф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инансового органа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МО «____________________»      _____________________ 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МП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(ФИО)           (Подпись)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right"/>
        <w:spacing w:before="0" w:after="0" w:line="240" w:lineRule="auto"/>
        <w:rPr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</w:pPr>
      <w:r>
        <w:rPr>
          <w:rStyle w:val="920"/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  <w:lang w:val="ru-RU" w:bidi="ru-RU"/>
        </w:rPr>
      </w:r>
    </w:p>
    <w:sectPr>
      <w:footnotePr/>
      <w:endnotePr/>
      <w:type w:val="nextPage"/>
      <w:pgSz w:w="11905" w:h="16838" w:orient="portrait"/>
      <w:pgMar w:top="709" w:right="1134" w:bottom="567" w:left="1701" w:header="425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9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isLgl w:val="false"/>
      <w:suff w:val="tab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5" w:hanging="26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00" w:hanging="432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9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0" w:hanging="19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809" w:hanging="28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97" w:hanging="28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795" w:hanging="28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293" w:hanging="28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9791" w:hanging="28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1289" w:hanging="28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2787" w:hanging="28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4284" w:hanging="28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  <w:rPr>
        <w:rFonts w:hint="default"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6" w:hanging="47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66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9" w:hanging="6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9" w:hanging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9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364" w:hanging="23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7"/>
        <w:szCs w:val="27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27"/>
  </w:num>
  <w:num w:numId="4">
    <w:abstractNumId w:val="5"/>
  </w:num>
  <w:num w:numId="5">
    <w:abstractNumId w:val="15"/>
  </w:num>
  <w:num w:numId="6">
    <w:abstractNumId w:val="11"/>
  </w:num>
  <w:num w:numId="7">
    <w:abstractNumId w:val="21"/>
  </w:num>
  <w:num w:numId="8">
    <w:abstractNumId w:val="6"/>
  </w:num>
  <w:num w:numId="9">
    <w:abstractNumId w:val="1"/>
  </w:num>
  <w:num w:numId="10">
    <w:abstractNumId w:val="18"/>
  </w:num>
  <w:num w:numId="11">
    <w:abstractNumId w:val="23"/>
  </w:num>
  <w:num w:numId="12">
    <w:abstractNumId w:val="25"/>
  </w:num>
  <w:num w:numId="13">
    <w:abstractNumId w:val="8"/>
  </w:num>
  <w:num w:numId="14">
    <w:abstractNumId w:val="22"/>
  </w:num>
  <w:num w:numId="15">
    <w:abstractNumId w:val="24"/>
  </w:num>
  <w:num w:numId="16">
    <w:abstractNumId w:val="19"/>
  </w:num>
  <w:num w:numId="17">
    <w:abstractNumId w:val="2"/>
  </w:num>
  <w:num w:numId="18">
    <w:abstractNumId w:val="20"/>
  </w:num>
  <w:num w:numId="19">
    <w:abstractNumId w:val="28"/>
  </w:num>
  <w:num w:numId="20">
    <w:abstractNumId w:val="26"/>
  </w:num>
  <w:num w:numId="21">
    <w:abstractNumId w:val="3"/>
  </w:num>
  <w:num w:numId="22">
    <w:abstractNumId w:val="9"/>
  </w:num>
  <w:num w:numId="23">
    <w:abstractNumId w:val="4"/>
  </w:num>
  <w:num w:numId="24">
    <w:abstractNumId w:val="7"/>
  </w:num>
  <w:num w:numId="25">
    <w:abstractNumId w:val="16"/>
  </w:num>
  <w:num w:numId="26">
    <w:abstractNumId w:val="13"/>
  </w:num>
  <w:num w:numId="27">
    <w:abstractNumId w:val="0"/>
  </w:num>
  <w:num w:numId="28">
    <w:abstractNumId w:val="29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89"/>
    <w:link w:val="91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6">
    <w:name w:val="Heading 2"/>
    <w:basedOn w:val="887"/>
    <w:next w:val="887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7">
    <w:name w:val="Heading 2 Char"/>
    <w:basedOn w:val="889"/>
    <w:link w:val="716"/>
    <w:uiPriority w:val="9"/>
    <w:rPr>
      <w:rFonts w:ascii="Liberation Sans" w:hAnsi="Liberation Sans" w:eastAsia="Liberation Sans" w:cs="Liberation Sans"/>
      <w:sz w:val="34"/>
    </w:rPr>
  </w:style>
  <w:style w:type="character" w:styleId="718">
    <w:name w:val="Heading 3 Char"/>
    <w:basedOn w:val="889"/>
    <w:link w:val="88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9">
    <w:name w:val="Heading 4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0">
    <w:name w:val="Heading 4 Char"/>
    <w:basedOn w:val="889"/>
    <w:link w:val="71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1">
    <w:name w:val="Heading 5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2">
    <w:name w:val="Heading 5 Char"/>
    <w:basedOn w:val="889"/>
    <w:link w:val="72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3">
    <w:name w:val="Heading 6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4">
    <w:name w:val="Heading 6 Char"/>
    <w:basedOn w:val="889"/>
    <w:link w:val="72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5">
    <w:name w:val="Heading 7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6">
    <w:name w:val="Heading 7 Char"/>
    <w:basedOn w:val="889"/>
    <w:link w:val="72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7">
    <w:name w:val="Heading 8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8">
    <w:name w:val="Heading 8 Char"/>
    <w:basedOn w:val="889"/>
    <w:link w:val="72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9">
    <w:name w:val="Heading 9"/>
    <w:basedOn w:val="887"/>
    <w:next w:val="887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0">
    <w:name w:val="Heading 9 Char"/>
    <w:basedOn w:val="889"/>
    <w:link w:val="7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7"/>
    <w:next w:val="88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9"/>
    <w:link w:val="732"/>
    <w:uiPriority w:val="10"/>
    <w:rPr>
      <w:sz w:val="48"/>
      <w:szCs w:val="48"/>
    </w:rPr>
  </w:style>
  <w:style w:type="paragraph" w:styleId="734">
    <w:name w:val="Subtitle"/>
    <w:basedOn w:val="887"/>
    <w:next w:val="887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9"/>
    <w:link w:val="734"/>
    <w:uiPriority w:val="11"/>
    <w:rPr>
      <w:sz w:val="24"/>
      <w:szCs w:val="24"/>
    </w:rPr>
  </w:style>
  <w:style w:type="paragraph" w:styleId="736">
    <w:name w:val="Quote"/>
    <w:basedOn w:val="887"/>
    <w:next w:val="88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7"/>
    <w:next w:val="88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9"/>
    <w:link w:val="893"/>
    <w:uiPriority w:val="99"/>
  </w:style>
  <w:style w:type="character" w:styleId="741">
    <w:name w:val="Footer Char"/>
    <w:basedOn w:val="889"/>
    <w:link w:val="895"/>
    <w:uiPriority w:val="99"/>
  </w:style>
  <w:style w:type="paragraph" w:styleId="742">
    <w:name w:val="Caption"/>
    <w:basedOn w:val="887"/>
    <w:next w:val="887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9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6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7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1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2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3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8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9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9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  <w:pPr>
      <w:ind w:firstLine="709"/>
      <w:spacing w:after="0" w:line="240" w:lineRule="auto"/>
    </w:pPr>
    <w:rPr>
      <w:rFonts w:ascii="Times New Roman" w:hAnsi="Times New Roman" w:eastAsia="Times New Roman" w:cs="Calibri"/>
      <w:sz w:val="28"/>
    </w:rPr>
  </w:style>
  <w:style w:type="paragraph" w:styleId="888">
    <w:name w:val="Heading 3"/>
    <w:basedOn w:val="887"/>
    <w:next w:val="887"/>
    <w:link w:val="912"/>
    <w:qFormat/>
    <w:pPr>
      <w:ind w:firstLine="0"/>
      <w:jc w:val="center"/>
      <w:keepNext/>
      <w:outlineLvl w:val="2"/>
    </w:pPr>
    <w:rPr>
      <w:rFonts w:cs="Times New Roman"/>
      <w:b/>
      <w:sz w:val="52"/>
      <w:szCs w:val="20"/>
      <w:lang w:eastAsia="ru-RU"/>
    </w:rPr>
  </w:style>
  <w:style w:type="character" w:styleId="889" w:default="1">
    <w:name w:val="Default Paragraph Font"/>
    <w:uiPriority w:val="1"/>
    <w:semiHidden/>
    <w:unhideWhenUsed/>
  </w:style>
  <w:style w:type="table" w:styleId="89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uiPriority w:val="99"/>
    <w:semiHidden/>
    <w:unhideWhenUsed/>
  </w:style>
  <w:style w:type="table" w:styleId="892">
    <w:name w:val="Table Grid"/>
    <w:basedOn w:val="890"/>
    <w:uiPriority w:val="59"/>
    <w:pPr>
      <w:spacing w:after="0" w:line="240" w:lineRule="auto"/>
    </w:pPr>
    <w:rPr>
      <w:rFonts w:ascii="Calibri" w:hAnsi="Calibri" w:eastAsia="Times New Roman" w:cs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3">
    <w:name w:val="Header"/>
    <w:basedOn w:val="887"/>
    <w:link w:val="894"/>
    <w:uiPriority w:val="99"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889"/>
    <w:link w:val="893"/>
    <w:uiPriority w:val="99"/>
    <w:rPr>
      <w:rFonts w:ascii="Calibri" w:hAnsi="Calibri" w:eastAsia="Times New Roman" w:cs="Calibri"/>
    </w:rPr>
  </w:style>
  <w:style w:type="paragraph" w:styleId="895">
    <w:name w:val="Footer"/>
    <w:basedOn w:val="887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889"/>
    <w:link w:val="895"/>
    <w:uiPriority w:val="99"/>
    <w:rPr>
      <w:rFonts w:ascii="Calibri" w:hAnsi="Calibri" w:eastAsia="Times New Roman" w:cs="Calibri"/>
    </w:rPr>
  </w:style>
  <w:style w:type="paragraph" w:styleId="897">
    <w:name w:val="List Paragraph"/>
    <w:basedOn w:val="887"/>
    <w:uiPriority w:val="1"/>
    <w:qFormat/>
    <w:pPr>
      <w:contextualSpacing/>
      <w:ind w:left="720"/>
    </w:pPr>
  </w:style>
  <w:style w:type="character" w:styleId="898" w:customStyle="1">
    <w:name w:val="Текст выноски Знак"/>
    <w:basedOn w:val="889"/>
    <w:link w:val="89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99">
    <w:name w:val="Balloon Text"/>
    <w:basedOn w:val="887"/>
    <w:link w:val="898"/>
    <w:uiPriority w:val="99"/>
    <w:semiHidden/>
    <w:unhideWhenUsed/>
    <w:rPr>
      <w:rFonts w:ascii="Tahoma" w:hAnsi="Tahoma" w:cs="Tahoma"/>
      <w:sz w:val="16"/>
      <w:szCs w:val="16"/>
    </w:rPr>
  </w:style>
  <w:style w:type="character" w:styleId="900" w:customStyle="1">
    <w:name w:val="Текст выноски Знак1"/>
    <w:basedOn w:val="88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0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03" w:customStyle="1">
    <w:name w:val="Текст примечания Знак"/>
    <w:basedOn w:val="889"/>
    <w:link w:val="904"/>
    <w:uiPriority w:val="99"/>
    <w:semiHidden/>
    <w:rPr>
      <w:rFonts w:ascii="Times New Roman" w:hAnsi="Times New Roman" w:eastAsia="Times New Roman" w:cs="Calibri"/>
      <w:sz w:val="20"/>
      <w:szCs w:val="20"/>
    </w:rPr>
  </w:style>
  <w:style w:type="paragraph" w:styleId="904">
    <w:name w:val="annotation text"/>
    <w:basedOn w:val="887"/>
    <w:link w:val="903"/>
    <w:uiPriority w:val="99"/>
    <w:semiHidden/>
    <w:unhideWhenUsed/>
    <w:rPr>
      <w:sz w:val="20"/>
      <w:szCs w:val="20"/>
    </w:rPr>
  </w:style>
  <w:style w:type="character" w:styleId="905" w:customStyle="1">
    <w:name w:val="Текст примечания Знак1"/>
    <w:basedOn w:val="889"/>
    <w:uiPriority w:val="99"/>
    <w:semiHidden/>
    <w:rPr>
      <w:rFonts w:ascii="Times New Roman" w:hAnsi="Times New Roman" w:eastAsia="Times New Roman" w:cs="Calibri"/>
      <w:sz w:val="20"/>
      <w:szCs w:val="20"/>
    </w:rPr>
  </w:style>
  <w:style w:type="character" w:styleId="906" w:customStyle="1">
    <w:name w:val="Тема примечания Знак"/>
    <w:basedOn w:val="903"/>
    <w:link w:val="907"/>
    <w:uiPriority w:val="99"/>
    <w:semiHidden/>
    <w:rPr>
      <w:rFonts w:ascii="Times New Roman" w:hAnsi="Times New Roman" w:eastAsia="Times New Roman" w:cs="Calibri"/>
      <w:b/>
      <w:bCs/>
      <w:sz w:val="20"/>
      <w:szCs w:val="20"/>
    </w:rPr>
  </w:style>
  <w:style w:type="paragraph" w:styleId="907">
    <w:name w:val="annotation subject"/>
    <w:basedOn w:val="904"/>
    <w:next w:val="904"/>
    <w:link w:val="906"/>
    <w:uiPriority w:val="99"/>
    <w:semiHidden/>
    <w:unhideWhenUsed/>
    <w:rPr>
      <w:b/>
      <w:bCs/>
    </w:rPr>
  </w:style>
  <w:style w:type="character" w:styleId="908" w:customStyle="1">
    <w:name w:val="Тема примечания Знак1"/>
    <w:basedOn w:val="905"/>
    <w:uiPriority w:val="99"/>
    <w:semiHidden/>
    <w:rPr>
      <w:rFonts w:ascii="Times New Roman" w:hAnsi="Times New Roman" w:eastAsia="Times New Roman" w:cs="Calibri"/>
      <w:b/>
      <w:bCs/>
      <w:sz w:val="20"/>
      <w:szCs w:val="20"/>
    </w:rPr>
  </w:style>
  <w:style w:type="paragraph" w:styleId="90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0">
    <w:name w:val="annotation reference"/>
    <w:basedOn w:val="889"/>
    <w:uiPriority w:val="99"/>
    <w:semiHidden/>
    <w:unhideWhenUsed/>
    <w:rPr>
      <w:sz w:val="16"/>
      <w:szCs w:val="16"/>
    </w:rPr>
  </w:style>
  <w:style w:type="character" w:styleId="911">
    <w:name w:val="Placeholder Text"/>
    <w:basedOn w:val="889"/>
    <w:uiPriority w:val="99"/>
    <w:semiHidden/>
    <w:rPr>
      <w:color w:val="808080"/>
    </w:rPr>
  </w:style>
  <w:style w:type="character" w:styleId="912" w:customStyle="1">
    <w:name w:val="Заголовок 3 Знак"/>
    <w:basedOn w:val="889"/>
    <w:link w:val="888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91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4">
    <w:name w:val="Body Text"/>
    <w:basedOn w:val="887"/>
    <w:link w:val="915"/>
    <w:uiPriority w:val="1"/>
    <w:qFormat/>
    <w:pPr>
      <w:ind w:firstLine="0"/>
      <w:widowControl w:val="off"/>
    </w:pPr>
    <w:rPr>
      <w:rFonts w:cs="Times New Roman"/>
      <w:sz w:val="26"/>
      <w:szCs w:val="26"/>
    </w:rPr>
  </w:style>
  <w:style w:type="character" w:styleId="915" w:customStyle="1">
    <w:name w:val="Основной текст Знак"/>
    <w:basedOn w:val="889"/>
    <w:link w:val="914"/>
    <w:uiPriority w:val="1"/>
    <w:rPr>
      <w:rFonts w:ascii="Times New Roman" w:hAnsi="Times New Roman" w:eastAsia="Times New Roman" w:cs="Times New Roman"/>
      <w:sz w:val="26"/>
      <w:szCs w:val="26"/>
    </w:rPr>
  </w:style>
  <w:style w:type="paragraph" w:styleId="916" w:customStyle="1">
    <w:name w:val="Heading 1"/>
    <w:basedOn w:val="887"/>
    <w:uiPriority w:val="1"/>
    <w:qFormat/>
    <w:pPr>
      <w:ind w:left="2756" w:hanging="430"/>
      <w:widowControl w:val="off"/>
      <w:outlineLvl w:val="1"/>
    </w:pPr>
    <w:rPr>
      <w:rFonts w:cs="Times New Roman"/>
      <w:sz w:val="27"/>
      <w:szCs w:val="27"/>
    </w:rPr>
  </w:style>
  <w:style w:type="paragraph" w:styleId="917" w:customStyle="1">
    <w:name w:val="Table Paragraph"/>
    <w:basedOn w:val="887"/>
    <w:uiPriority w:val="1"/>
    <w:qFormat/>
    <w:pPr>
      <w:ind w:firstLine="0"/>
      <w:widowControl w:val="off"/>
    </w:pPr>
    <w:rPr>
      <w:rFonts w:cs="Times New Roman"/>
      <w:sz w:val="22"/>
    </w:rPr>
  </w:style>
  <w:style w:type="character" w:styleId="918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919" w:customStyle="1">
    <w:name w:val="Гипертекстовая ссылка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character" w:styleId="920" w:customStyle="1">
    <w:name w:val="Заголовок приложения"/>
    <w:rPr>
      <w:rFonts w:ascii="Arial" w:hAnsi="Arial" w:eastAsia="Arial" w:cs="Arial"/>
      <w:b/>
      <w:bCs/>
      <w:color w:val="26282f"/>
      <w:sz w:val="24"/>
      <w:szCs w:val="24"/>
      <w:lang w:val="ru-RU" w:bidi="ru-RU"/>
    </w:rPr>
  </w:style>
  <w:style w:type="paragraph" w:styleId="921" w:customStyle="1">
    <w:name w:val="Таблицы (моноширинный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image" Target="media/image1.png"/><Relationship Id="rId14" Type="http://schemas.openxmlformats.org/officeDocument/2006/relationships/hyperlink" Target="https://internet.garant.ru/document/redirect/73967175/11" TargetMode="External"/><Relationship Id="rId15" Type="http://schemas.openxmlformats.org/officeDocument/2006/relationships/hyperlink" Target="https://internet.garant.ru/document/redirect/73967175/17" TargetMode="External"/><Relationship Id="rId16" Type="http://schemas.openxmlformats.org/officeDocument/2006/relationships/hyperlink" Target="https://internet.garant.ru/document/redirect/73967175/0" TargetMode="External"/><Relationship Id="rId17" Type="http://schemas.openxmlformats.org/officeDocument/2006/relationships/hyperlink" Target="https://internet.garant.ru/document/redirect/73967175/28" TargetMode="External"/><Relationship Id="rId18" Type="http://schemas.openxmlformats.org/officeDocument/2006/relationships/hyperlink" Target="https://internet.garant.ru/document/redirect/73967175/0" TargetMode="External"/><Relationship Id="rId19" Type="http://schemas.openxmlformats.org/officeDocument/2006/relationships/hyperlink" Target="https://internet.garant.ru/#/document/73753902/entry/10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Props1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9FBBB-424C-4889-AA1C-20F6A2CB5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f07adec3-9edc-4ba9-a947-c557adee0635"/>
    <ds:schemaRef ds:uri="380f5408-d454-4a1b-a6ac-2bc4bb997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ДИА</Company>
  <DocSecurity>0</DocSecurity>
  <HyperlinksChanged>false</HyperlinksChanged>
  <LinksUpToDate>false</LinksUpToDate>
  <ScaleCrop>false</ScaleCrop>
  <SharedDoc>false</SharedDoc>
  <Template>Шаблон постановления Правительства области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pavlova</cp:lastModifiedBy>
  <cp:revision>16</cp:revision>
  <dcterms:created xsi:type="dcterms:W3CDTF">2026-01-15T06:50:00Z</dcterms:created>
  <dcterms:modified xsi:type="dcterms:W3CDTF">2026-03-24T12:51:25Z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