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1120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6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p>
      <w:pPr>
        <w:jc w:val="center"/>
      </w:pPr>
      <w:r>
        <w:t xml:space="preserve">МИНИСТЕРСТВО ФИНАНСОВ РЕСПУБЛИКИ АДЫГЕЯ</w:t>
      </w:r>
      <w:r/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46"/>
      </w:pPr>
      <w:r>
        <w:t xml:space="preserve">П Р И К А З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от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</w:t>
      </w:r>
      <w:r>
        <w:rPr>
          <w:sz w:val="27"/>
          <w:szCs w:val="27"/>
        </w:rPr>
        <w:t xml:space="preserve">№ </w:t>
      </w:r>
      <w:r>
        <w:rPr>
          <w:sz w:val="27"/>
          <w:szCs w:val="27"/>
          <w:u w:val="single"/>
        </w:rPr>
        <w:t xml:space="preserve">   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lef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г. Майкоп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9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внесении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изменений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перечень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главных администраторов доходов республиканс</w:t>
            </w:r>
            <w:r>
              <w:rPr>
                <w:bCs/>
                <w:sz w:val="28"/>
                <w:szCs w:val="28"/>
              </w:rPr>
              <w:t xml:space="preserve">кого бюджета Республики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Адыгея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</w:tbl>
    <w:p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952"/>
        <w:ind w:firstLine="709"/>
        <w:jc w:val="both"/>
        <w:tabs>
          <w:tab w:val="left" w:pos="567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Кабинета Министров Респу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блики Адыгея от 3 августа 2022 года № 186 «О порядке и сроках внесения изменений в перечень главных администраторов доходов республиканского бюджета Республики Адыгея, бюджета Территориального фонда обязательного медицинского страхования Республики Адыгея»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jc w:val="both"/>
        <w:tabs>
          <w:tab w:val="left" w:pos="567" w:leader="none"/>
        </w:tabs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952"/>
        <w:jc w:val="both"/>
        <w:tabs>
          <w:tab w:val="left" w:pos="567" w:leader="none"/>
        </w:tabs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952"/>
        <w:jc w:val="both"/>
        <w:tabs>
          <w:tab w:val="left" w:pos="567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р и к а з ы в а ю: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52"/>
        <w:jc w:val="both"/>
        <w:tabs>
          <w:tab w:val="left" w:pos="567" w:leader="none"/>
        </w:tabs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952"/>
        <w:jc w:val="both"/>
        <w:tabs>
          <w:tab w:val="left" w:pos="567" w:leader="none"/>
        </w:tabs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952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главных администраторов доходов республиканского бю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джета Республики Адыгея, утвержденный распоряжением Кабинета Министров Республики Адыгея от 23 декабря 2021 года № 479-р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перечня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главных администраторов доходов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республиканского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Адыгея, перечня главных администраторов доходов бюджета Территориального фонда обязательного медицинского страхования Республики Адыгея»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ind w:left="964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802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2 19 25316 02 0000 150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Возврат остатков субсидий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организаций,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pStyle w:val="952"/>
        <w:ind w:left="964" w:firstLin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допол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нить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802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2 19 25365 02 0000 150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Возврат остатков субсидий на софинансирование расходных обязательств субъектов Российской Федерации, возникающих при реализации региональных проектов модернизации первичного звена здравоохранения,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</w:tr>
    </w:tbl>
    <w:p>
      <w:pPr>
        <w:pStyle w:val="952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52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1.2.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803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2 02 25348 02 0000 150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Субсидии бюджетам субъектов Российской Федерации на модернизацию региональных и муниципальных библиотек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pStyle w:val="952"/>
        <w:ind w:left="964" w:firstLine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допол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нить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803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2 02 25349 02 0000 150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Субсидии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ind w:left="0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952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singl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single"/>
        </w:rPr>
        <w:t xml:space="preserve">Cтроку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singl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803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2 02 25590 02 0000 150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Субсидии бюджетам субъектов Российской Федерации на техническое оснащение муниципальных музеев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pStyle w:val="952"/>
        <w:ind w:left="964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803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2 02 25590 02 0000 150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Субсидии бюджетам субъектов Российской Федерации на техническое оснащение региональных и муниципальных музеев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ind w:left="964"/>
        <w:jc w:val="both"/>
        <w:tabs>
          <w:tab w:val="left" w:pos="1134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52"/>
        <w:ind w:left="964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1.4.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2 18 60010 02 0000 150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pStyle w:val="952"/>
        <w:ind w:left="964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2 18 90000 02 0000 150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ind w:left="964"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52"/>
        <w:ind w:left="964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1.5.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Строку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2 18 25513 02 0000 150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развитие сети учреждений культурно-досугового типа за счет средств резервного фонда Правительства Российской Федерации из бюджетов муниципальных образований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pStyle w:val="952"/>
        <w:ind w:left="964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2 18 25513 02 0000 15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развитие сети учреждений культурно-досугового типа из бюджетов муниципальных образований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ind w:left="0" w:firstLine="0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952"/>
        <w:ind w:left="964" w:firstLine="0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1.6.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2 02 49999 02 0000 150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Прочие межбюджетные трансферты, передаваемые бюджетам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ind w:left="0" w:firstLine="0"/>
        <w:tabs>
          <w:tab w:val="left" w:pos="992" w:leader="none"/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952"/>
        <w:ind w:left="964" w:firstLine="0"/>
        <w:tabs>
          <w:tab w:val="left" w:pos="992" w:leader="none"/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2 18 02030 02 0000 150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Доходы бюджетов субъектов Российской Федерации 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ind w:left="0" w:firstLine="0"/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</w:rPr>
      </w:r>
    </w:p>
    <w:p>
      <w:pPr>
        <w:pStyle w:val="952"/>
        <w:ind w:left="964"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1.7.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2 02 35900 02 0000 150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Единая субвенция бюджетам субъектов Российской Федерации и бюджету г. Байконура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jc w:val="both"/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14:ligatures w14:val="none"/>
        </w:rPr>
      </w:r>
    </w:p>
    <w:p>
      <w:pPr>
        <w:pStyle w:val="952"/>
        <w:ind w:left="964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</w:rPr>
        <w:t xml:space="preserve">д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ополнить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2 07 02030 02 0000 150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Прочие безвозмездные поступления в бюджеты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p>
      <w:pPr>
        <w:pStyle w:val="952"/>
        <w:ind w:left="964"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  <w:t xml:space="preserve">1.8.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  <w:t xml:space="preserve">Строку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2 19 25157 02 0000 150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Возврат остатков субсидий на софинансирование расходных обязательств субъектов Российской Федерации, возникающих при предоставлении субсидий льготным категориям граждан на покупку и установку газоиспользующего оборудования, проведение работ внутри границ 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догазификации, из бюджетов субъектов Р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52"/>
        <w:ind w:left="964"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  <w:t xml:space="preserve">заменить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2 19 25157 02 0000 150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Возврат остатков субсидий на софинансирование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 из бюджетов субъектов Российско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p>
      <w:pPr>
        <w:pStyle w:val="952"/>
        <w:ind w:left="964"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1.9.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Строку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2 19 45694 02 0000 150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Возврат остатков иных межбюджетных трансфертов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ой Федерации в экстренном массовом порядке, в пунктах временного размещения и питания, за счет средств резервного фонда Правительства Российской Федерации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ind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  <w14:ligatures w14:val="none"/>
        </w:rPr>
      </w:r>
    </w:p>
    <w:p>
      <w:pPr>
        <w:pStyle w:val="952"/>
        <w:ind w:left="964" w:firstLine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  <w:t xml:space="preserve">заменить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2 19 45694 02 0000 150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Возврат остатков иных межбюджетных трансфертов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территории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питания, за счет средств резервного фонда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Правительства Российской Федерации из бюджетов субъектов Российской Федерации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pPr>
        <w:pStyle w:val="952"/>
        <w:ind w:left="0" w:right="0"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52"/>
        <w:ind w:left="964" w:firstLine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1.10.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44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1 14 02022 02 0000 440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52"/>
        <w:ind w:left="964" w:firstLine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952"/>
        <w:ind w:left="964" w:firstLine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44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1 15 02020 02 0000 140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Платежи, взимаемые государственными органами (организациями) субъектов Российской Федерации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52"/>
        <w:ind w:left="0" w:firstLine="0"/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7030a0"/>
          <w:sz w:val="28"/>
          <w:szCs w:val="28"/>
          <w:highlight w:val="none"/>
        </w:rPr>
      </w:r>
    </w:p>
    <w:p>
      <w:pPr>
        <w:pStyle w:val="952"/>
        <w:ind w:left="964" w:firstLine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1.11.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После строки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2 02 25545 02 0000 150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Субсидии бюджетам субъектов Российской Федерации на 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ам, а также к информационно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-телекоммуникационной сети «Интернет»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52"/>
        <w:ind w:left="0" w:firstLine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952"/>
        <w:ind w:left="964" w:firstLine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2 03 02099 02 0000 150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Прочие безвозмездные поступления от государственных (муниципальных) организаций в бюджеты субъектов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952"/>
        <w:ind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52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52"/>
        <w:ind w:firstLine="708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52"/>
        <w:ind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аместитель Председателя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Республики Адыгея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В.Н.Орлов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4204407"/>
      <w:docPartObj>
        <w:docPartGallery w:val="Page Numbers (Top of Page)"/>
        <w:docPartUnique w:val="true"/>
      </w:docPartObj>
      <w:rPr/>
    </w:sdtPr>
    <w:sdtContent>
      <w:p>
        <w:pPr>
          <w:pStyle w:val="97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6" w:hanging="72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6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isLgl w:val="false"/>
      <w:suff w:val="tab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6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3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48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3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1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3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5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33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8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1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41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2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3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32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2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3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32" w:hanging="180"/>
      </w:pPr>
    </w:lvl>
  </w:abstractNum>
  <w:num w:numId="1">
    <w:abstractNumId w:val="20"/>
  </w:num>
  <w:num w:numId="2">
    <w:abstractNumId w:val="13"/>
  </w:num>
  <w:num w:numId="3">
    <w:abstractNumId w:val="30"/>
  </w:num>
  <w:num w:numId="4">
    <w:abstractNumId w:val="27"/>
  </w:num>
  <w:num w:numId="5">
    <w:abstractNumId w:val="43"/>
  </w:num>
  <w:num w:numId="6">
    <w:abstractNumId w:val="18"/>
  </w:num>
  <w:num w:numId="7">
    <w:abstractNumId w:val="33"/>
  </w:num>
  <w:num w:numId="8">
    <w:abstractNumId w:val="21"/>
  </w:num>
  <w:num w:numId="9">
    <w:abstractNumId w:val="5"/>
  </w:num>
  <w:num w:numId="10">
    <w:abstractNumId w:val="17"/>
  </w:num>
  <w:num w:numId="11">
    <w:abstractNumId w:val="24"/>
  </w:num>
  <w:num w:numId="12">
    <w:abstractNumId w:val="42"/>
  </w:num>
  <w:num w:numId="13">
    <w:abstractNumId w:val="11"/>
  </w:num>
  <w:num w:numId="14">
    <w:abstractNumId w:val="37"/>
  </w:num>
  <w:num w:numId="15">
    <w:abstractNumId w:val="23"/>
  </w:num>
  <w:num w:numId="16">
    <w:abstractNumId w:val="40"/>
  </w:num>
  <w:num w:numId="17">
    <w:abstractNumId w:val="39"/>
  </w:num>
  <w:num w:numId="18">
    <w:abstractNumId w:val="38"/>
  </w:num>
  <w:num w:numId="19">
    <w:abstractNumId w:val="4"/>
  </w:num>
  <w:num w:numId="20">
    <w:abstractNumId w:val="0"/>
  </w:num>
  <w:num w:numId="21">
    <w:abstractNumId w:val="15"/>
  </w:num>
  <w:num w:numId="22">
    <w:abstractNumId w:val="25"/>
  </w:num>
  <w:num w:numId="23">
    <w:abstractNumId w:val="32"/>
  </w:num>
  <w:num w:numId="24">
    <w:abstractNumId w:val="16"/>
  </w:num>
  <w:num w:numId="25">
    <w:abstractNumId w:val="34"/>
  </w:num>
  <w:num w:numId="26">
    <w:abstractNumId w:val="7"/>
  </w:num>
  <w:num w:numId="27">
    <w:abstractNumId w:val="29"/>
  </w:num>
  <w:num w:numId="28">
    <w:abstractNumId w:val="35"/>
  </w:num>
  <w:num w:numId="29">
    <w:abstractNumId w:val="8"/>
  </w:num>
  <w:num w:numId="30">
    <w:abstractNumId w:val="10"/>
  </w:num>
  <w:num w:numId="31">
    <w:abstractNumId w:val="28"/>
  </w:num>
  <w:num w:numId="32">
    <w:abstractNumId w:val="3"/>
  </w:num>
  <w:num w:numId="33">
    <w:abstractNumId w:val="12"/>
  </w:num>
  <w:num w:numId="34">
    <w:abstractNumId w:val="41"/>
  </w:num>
  <w:num w:numId="35">
    <w:abstractNumId w:val="9"/>
  </w:num>
  <w:num w:numId="36">
    <w:abstractNumId w:val="31"/>
  </w:num>
  <w:num w:numId="37">
    <w:abstractNumId w:val="14"/>
  </w:num>
  <w:num w:numId="38">
    <w:abstractNumId w:val="6"/>
  </w:num>
  <w:num w:numId="39">
    <w:abstractNumId w:val="26"/>
  </w:num>
  <w:num w:numId="40">
    <w:abstractNumId w:val="22"/>
  </w:num>
  <w:num w:numId="41">
    <w:abstractNumId w:val="19"/>
  </w:num>
  <w:num w:numId="42">
    <w:abstractNumId w:val="1"/>
  </w:num>
  <w:num w:numId="43">
    <w:abstractNumId w:val="36"/>
  </w:num>
  <w:num w:numId="44">
    <w:abstractNumId w:val="2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3">
    <w:name w:val="Heading 1 Char"/>
    <w:basedOn w:val="947"/>
    <w:link w:val="945"/>
    <w:uiPriority w:val="9"/>
    <w:rPr>
      <w:rFonts w:ascii="Arial" w:hAnsi="Arial" w:eastAsia="Arial" w:cs="Arial"/>
      <w:sz w:val="40"/>
      <w:szCs w:val="40"/>
    </w:rPr>
  </w:style>
  <w:style w:type="paragraph" w:styleId="774">
    <w:name w:val="Heading 2"/>
    <w:basedOn w:val="944"/>
    <w:next w:val="944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>
    <w:name w:val="Heading 2 Char"/>
    <w:basedOn w:val="947"/>
    <w:link w:val="774"/>
    <w:uiPriority w:val="9"/>
    <w:rPr>
      <w:rFonts w:ascii="Arial" w:hAnsi="Arial" w:eastAsia="Arial" w:cs="Arial"/>
      <w:sz w:val="34"/>
    </w:rPr>
  </w:style>
  <w:style w:type="character" w:styleId="776">
    <w:name w:val="Heading 3 Char"/>
    <w:basedOn w:val="947"/>
    <w:link w:val="946"/>
    <w:uiPriority w:val="9"/>
    <w:rPr>
      <w:rFonts w:ascii="Arial" w:hAnsi="Arial" w:eastAsia="Arial" w:cs="Arial"/>
      <w:sz w:val="30"/>
      <w:szCs w:val="30"/>
    </w:rPr>
  </w:style>
  <w:style w:type="paragraph" w:styleId="777">
    <w:name w:val="Heading 4"/>
    <w:basedOn w:val="944"/>
    <w:next w:val="944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4 Char"/>
    <w:basedOn w:val="947"/>
    <w:link w:val="777"/>
    <w:uiPriority w:val="9"/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944"/>
    <w:next w:val="944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>
    <w:name w:val="Heading 5 Char"/>
    <w:basedOn w:val="947"/>
    <w:link w:val="779"/>
    <w:uiPriority w:val="9"/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944"/>
    <w:next w:val="944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basedOn w:val="947"/>
    <w:link w:val="781"/>
    <w:uiPriority w:val="9"/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44"/>
    <w:next w:val="944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basedOn w:val="947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944"/>
    <w:next w:val="944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basedOn w:val="947"/>
    <w:link w:val="785"/>
    <w:uiPriority w:val="9"/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944"/>
    <w:next w:val="944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basedOn w:val="947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No Spacing"/>
    <w:uiPriority w:val="1"/>
    <w:qFormat/>
    <w:pPr>
      <w:spacing w:before="0" w:after="0" w:line="240" w:lineRule="auto"/>
    </w:pPr>
  </w:style>
  <w:style w:type="paragraph" w:styleId="790">
    <w:name w:val="Title"/>
    <w:basedOn w:val="944"/>
    <w:next w:val="944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basedOn w:val="947"/>
    <w:link w:val="790"/>
    <w:uiPriority w:val="10"/>
    <w:rPr>
      <w:sz w:val="48"/>
      <w:szCs w:val="48"/>
    </w:rPr>
  </w:style>
  <w:style w:type="paragraph" w:styleId="792">
    <w:name w:val="Subtitle"/>
    <w:basedOn w:val="944"/>
    <w:next w:val="944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basedOn w:val="947"/>
    <w:link w:val="792"/>
    <w:uiPriority w:val="11"/>
    <w:rPr>
      <w:sz w:val="24"/>
      <w:szCs w:val="24"/>
    </w:rPr>
  </w:style>
  <w:style w:type="paragraph" w:styleId="794">
    <w:name w:val="Quote"/>
    <w:basedOn w:val="944"/>
    <w:next w:val="944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4"/>
    <w:next w:val="944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character" w:styleId="798">
    <w:name w:val="Header Char"/>
    <w:basedOn w:val="947"/>
    <w:link w:val="970"/>
    <w:uiPriority w:val="99"/>
  </w:style>
  <w:style w:type="character" w:styleId="799">
    <w:name w:val="Footer Char"/>
    <w:basedOn w:val="947"/>
    <w:link w:val="972"/>
    <w:uiPriority w:val="99"/>
  </w:style>
  <w:style w:type="paragraph" w:styleId="800">
    <w:name w:val="Caption"/>
    <w:basedOn w:val="944"/>
    <w:next w:val="944"/>
    <w:link w:val="8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>
    <w:name w:val="Caption Char"/>
    <w:basedOn w:val="800"/>
    <w:link w:val="972"/>
    <w:uiPriority w:val="99"/>
  </w:style>
  <w:style w:type="table" w:styleId="802">
    <w:name w:val="Table Grid Light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7">
    <w:name w:val="footnote text"/>
    <w:basedOn w:val="944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basedOn w:val="947"/>
    <w:uiPriority w:val="99"/>
    <w:unhideWhenUsed/>
    <w:rPr>
      <w:vertAlign w:val="superscript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basedOn w:val="947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ind w:left="0" w:right="0" w:firstLine="0"/>
      <w:spacing w:after="57"/>
    </w:pPr>
  </w:style>
  <w:style w:type="paragraph" w:styleId="934">
    <w:name w:val="toc 2"/>
    <w:basedOn w:val="944"/>
    <w:next w:val="944"/>
    <w:uiPriority w:val="39"/>
    <w:unhideWhenUsed/>
    <w:pPr>
      <w:ind w:left="283" w:right="0" w:firstLine="0"/>
      <w:spacing w:after="57"/>
    </w:pPr>
  </w:style>
  <w:style w:type="paragraph" w:styleId="935">
    <w:name w:val="toc 3"/>
    <w:basedOn w:val="944"/>
    <w:next w:val="944"/>
    <w:uiPriority w:val="39"/>
    <w:unhideWhenUsed/>
    <w:pPr>
      <w:ind w:left="567" w:right="0" w:firstLine="0"/>
      <w:spacing w:after="57"/>
    </w:pPr>
  </w:style>
  <w:style w:type="paragraph" w:styleId="936">
    <w:name w:val="toc 4"/>
    <w:basedOn w:val="944"/>
    <w:next w:val="944"/>
    <w:uiPriority w:val="39"/>
    <w:unhideWhenUsed/>
    <w:pPr>
      <w:ind w:left="850" w:right="0" w:firstLine="0"/>
      <w:spacing w:after="57"/>
    </w:pPr>
  </w:style>
  <w:style w:type="paragraph" w:styleId="937">
    <w:name w:val="toc 5"/>
    <w:basedOn w:val="944"/>
    <w:next w:val="944"/>
    <w:uiPriority w:val="39"/>
    <w:unhideWhenUsed/>
    <w:pPr>
      <w:ind w:left="1134" w:right="0" w:firstLine="0"/>
      <w:spacing w:after="57"/>
    </w:pPr>
  </w:style>
  <w:style w:type="paragraph" w:styleId="938">
    <w:name w:val="toc 6"/>
    <w:basedOn w:val="944"/>
    <w:next w:val="944"/>
    <w:uiPriority w:val="39"/>
    <w:unhideWhenUsed/>
    <w:pPr>
      <w:ind w:left="1417" w:right="0" w:firstLine="0"/>
      <w:spacing w:after="57"/>
    </w:pPr>
  </w:style>
  <w:style w:type="paragraph" w:styleId="939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0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1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5">
    <w:name w:val="Heading 1"/>
    <w:basedOn w:val="944"/>
    <w:next w:val="944"/>
    <w:link w:val="956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46">
    <w:name w:val="Heading 3"/>
    <w:basedOn w:val="944"/>
    <w:next w:val="944"/>
    <w:link w:val="950"/>
    <w:qFormat/>
    <w:pPr>
      <w:jc w:val="center"/>
      <w:keepNext/>
      <w:outlineLvl w:val="2"/>
    </w:pPr>
    <w:rPr>
      <w:b/>
      <w:sz w:val="52"/>
    </w:rPr>
  </w:style>
  <w:style w:type="character" w:styleId="947" w:default="1">
    <w:name w:val="Default Paragraph Font"/>
    <w:uiPriority w:val="1"/>
    <w:semiHidden/>
    <w:unhideWhenUsed/>
  </w:style>
  <w:style w:type="table" w:styleId="9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9" w:default="1">
    <w:name w:val="No List"/>
    <w:uiPriority w:val="99"/>
    <w:semiHidden/>
    <w:unhideWhenUsed/>
  </w:style>
  <w:style w:type="character" w:styleId="950" w:customStyle="1">
    <w:name w:val="Заголовок 3 Знак"/>
    <w:basedOn w:val="947"/>
    <w:link w:val="946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table" w:styleId="951">
    <w:name w:val="Table Grid"/>
    <w:basedOn w:val="94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2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szCs w:val="20"/>
      <w:lang w:eastAsia="ru-RU"/>
    </w:rPr>
  </w:style>
  <w:style w:type="paragraph" w:styleId="953">
    <w:name w:val="Balloon Text"/>
    <w:basedOn w:val="944"/>
    <w:link w:val="954"/>
    <w:uiPriority w:val="99"/>
    <w:semiHidden/>
    <w:unhideWhenUsed/>
    <w:rPr>
      <w:rFonts w:ascii="Tahoma" w:hAnsi="Tahoma" w:cs="Tahoma"/>
      <w:sz w:val="16"/>
      <w:szCs w:val="16"/>
    </w:rPr>
  </w:style>
  <w:style w:type="character" w:styleId="954" w:customStyle="1">
    <w:name w:val="Текст выноски Знак"/>
    <w:basedOn w:val="947"/>
    <w:link w:val="95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55">
    <w:name w:val="List Paragraph"/>
    <w:basedOn w:val="944"/>
    <w:uiPriority w:val="34"/>
    <w:qFormat/>
    <w:pPr>
      <w:contextualSpacing/>
      <w:ind w:left="720"/>
    </w:pPr>
  </w:style>
  <w:style w:type="character" w:styleId="956" w:customStyle="1">
    <w:name w:val="Заголовок 1 Знак"/>
    <w:basedOn w:val="947"/>
    <w:link w:val="945"/>
    <w:uiPriority w:val="9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957" w:customStyle="1">
    <w:name w:val="Прижатый влево"/>
    <w:basedOn w:val="944"/>
    <w:next w:val="944"/>
    <w:uiPriority w:val="99"/>
    <w:rPr>
      <w:rFonts w:ascii="Arial" w:hAnsi="Arial" w:cs="Arial" w:eastAsiaTheme="minorHAnsi"/>
      <w:sz w:val="24"/>
      <w:szCs w:val="24"/>
      <w:lang w:eastAsia="en-US"/>
    </w:rPr>
  </w:style>
  <w:style w:type="character" w:styleId="958" w:customStyle="1">
    <w:name w:val="Цветовое выделение"/>
    <w:uiPriority w:val="99"/>
    <w:rPr>
      <w:b/>
      <w:bCs/>
      <w:color w:val="26282f"/>
    </w:rPr>
  </w:style>
  <w:style w:type="character" w:styleId="959" w:customStyle="1">
    <w:name w:val="Гипертекстовая ссылка"/>
    <w:basedOn w:val="958"/>
    <w:uiPriority w:val="99"/>
    <w:rPr>
      <w:b/>
      <w:bCs/>
      <w:color w:val="106bbe"/>
    </w:rPr>
  </w:style>
  <w:style w:type="character" w:styleId="960">
    <w:name w:val="annotation reference"/>
    <w:basedOn w:val="947"/>
    <w:uiPriority w:val="99"/>
    <w:semiHidden/>
    <w:unhideWhenUsed/>
    <w:rPr>
      <w:sz w:val="16"/>
      <w:szCs w:val="16"/>
    </w:rPr>
  </w:style>
  <w:style w:type="paragraph" w:styleId="961">
    <w:name w:val="annotation text"/>
    <w:basedOn w:val="944"/>
    <w:link w:val="962"/>
    <w:uiPriority w:val="99"/>
    <w:semiHidden/>
    <w:unhideWhenUsed/>
  </w:style>
  <w:style w:type="character" w:styleId="962" w:customStyle="1">
    <w:name w:val="Текст примечания Знак"/>
    <w:basedOn w:val="947"/>
    <w:link w:val="96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965">
    <w:name w:val="Hyperlink"/>
    <w:basedOn w:val="947"/>
    <w:uiPriority w:val="99"/>
    <w:semiHidden/>
    <w:unhideWhenUsed/>
    <w:rPr>
      <w:color w:val="0000ff"/>
      <w:u w:val="single"/>
    </w:rPr>
  </w:style>
  <w:style w:type="character" w:styleId="966">
    <w:name w:val="Emphasis"/>
    <w:basedOn w:val="947"/>
    <w:uiPriority w:val="20"/>
    <w:qFormat/>
    <w:rPr>
      <w:i/>
      <w:iCs/>
    </w:rPr>
  </w:style>
  <w:style w:type="paragraph" w:styleId="967" w:customStyle="1">
    <w:name w:val="s_1"/>
    <w:basedOn w:val="944"/>
    <w:pPr>
      <w:spacing w:before="100" w:beforeAutospacing="1" w:after="100" w:afterAutospacing="1"/>
    </w:pPr>
    <w:rPr>
      <w:sz w:val="24"/>
      <w:szCs w:val="24"/>
    </w:rPr>
  </w:style>
  <w:style w:type="character" w:styleId="968" w:customStyle="1">
    <w:name w:val="highlightsearch"/>
    <w:basedOn w:val="947"/>
  </w:style>
  <w:style w:type="paragraph" w:styleId="969" w:customStyle="1">
    <w:name w:val="s_16"/>
    <w:basedOn w:val="944"/>
    <w:pPr>
      <w:spacing w:before="100" w:beforeAutospacing="1" w:after="100" w:afterAutospacing="1"/>
    </w:pPr>
    <w:rPr>
      <w:sz w:val="24"/>
      <w:szCs w:val="24"/>
    </w:rPr>
  </w:style>
  <w:style w:type="paragraph" w:styleId="970">
    <w:name w:val="Header"/>
    <w:basedOn w:val="944"/>
    <w:link w:val="9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1" w:customStyle="1">
    <w:name w:val="Верхний колонтитул Знак"/>
    <w:basedOn w:val="947"/>
    <w:link w:val="97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2">
    <w:name w:val="Footer"/>
    <w:basedOn w:val="944"/>
    <w:link w:val="97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73" w:customStyle="1">
    <w:name w:val="Нижний колонтитул Знак"/>
    <w:basedOn w:val="947"/>
    <w:link w:val="97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Body Text Indent"/>
    <w:basedOn w:val="944"/>
    <w:link w:val="975"/>
    <w:semiHidden/>
    <w:pPr>
      <w:ind w:firstLine="567"/>
      <w:jc w:val="both"/>
    </w:pPr>
    <w:rPr>
      <w:sz w:val="28"/>
    </w:rPr>
  </w:style>
  <w:style w:type="character" w:styleId="975" w:customStyle="1">
    <w:name w:val="Основной текст с отступом Знак"/>
    <w:basedOn w:val="947"/>
    <w:link w:val="974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Placeholder Text"/>
    <w:basedOn w:val="947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789A4-7DAC-4F23-89C5-B0DC140E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borokova</cp:lastModifiedBy>
  <cp:revision>68</cp:revision>
  <dcterms:created xsi:type="dcterms:W3CDTF">2025-03-14T12:14:00Z</dcterms:created>
  <dcterms:modified xsi:type="dcterms:W3CDTF">2026-04-28T11:58:23Z</dcterms:modified>
</cp:coreProperties>
</file>